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Style w:val="70"/>
          <w:rFonts w:hint="default"/>
        </w:rPr>
      </w:pPr>
      <w:bookmarkStart w:id="0" w:name="_Hlk134285660"/>
    </w:p>
    <w:p>
      <w:pPr>
        <w:rPr>
          <w:rFonts w:ascii="仿宋_GB2312" w:hAnsi="仿宋_GB2312" w:eastAsia="仿宋_GB2312" w:cs="仿宋_GB2312"/>
          <w:sz w:val="36"/>
          <w:szCs w:val="36"/>
        </w:rPr>
      </w:pPr>
    </w:p>
    <w:p>
      <w:pPr>
        <w:adjustRightInd w:val="0"/>
        <w:snapToGrid w:val="0"/>
        <w:jc w:val="center"/>
        <w:outlineLvl w:val="0"/>
        <w:rPr>
          <w:b/>
          <w:sz w:val="72"/>
          <w:szCs w:val="72"/>
        </w:rPr>
      </w:pPr>
      <w:bookmarkStart w:id="1" w:name="_Hlk212641645"/>
      <w:bookmarkStart w:id="2" w:name="OLE_LINK298"/>
      <w:r>
        <w:rPr>
          <w:rFonts w:hint="eastAsia"/>
          <w:b/>
          <w:sz w:val="72"/>
          <w:szCs w:val="72"/>
        </w:rPr>
        <w:t>建设项目环境影响报告表</w:t>
      </w:r>
    </w:p>
    <w:p>
      <w:pPr>
        <w:adjustRightInd w:val="0"/>
        <w:snapToGrid w:val="0"/>
        <w:spacing w:before="192" w:beforeLines="80"/>
        <w:jc w:val="center"/>
        <w:rPr>
          <w:rFonts w:ascii="楷体" w:hAnsi="楷体" w:eastAsia="楷体"/>
          <w:b/>
          <w:sz w:val="48"/>
          <w:szCs w:val="48"/>
        </w:rPr>
      </w:pPr>
      <w:r>
        <w:rPr>
          <w:rFonts w:hint="eastAsia" w:ascii="楷体" w:hAnsi="楷体" w:eastAsia="楷体"/>
          <w:b/>
          <w:sz w:val="48"/>
          <w:szCs w:val="48"/>
        </w:rPr>
        <w:t>（污染影响类）</w:t>
      </w:r>
    </w:p>
    <w:p/>
    <w:p>
      <w:pPr>
        <w:jc w:val="center"/>
        <w:rPr>
          <w:sz w:val="52"/>
          <w:szCs w:val="52"/>
        </w:rPr>
      </w:pPr>
    </w:p>
    <w:p>
      <w:pPr>
        <w:ind w:firstLine="1038"/>
        <w:rPr>
          <w:sz w:val="44"/>
          <w:szCs w:val="44"/>
        </w:rPr>
      </w:pPr>
    </w:p>
    <w:p>
      <w:pPr>
        <w:ind w:firstLine="1038"/>
        <w:rPr>
          <w:sz w:val="44"/>
          <w:szCs w:val="44"/>
        </w:rPr>
      </w:pPr>
    </w:p>
    <w:p>
      <w:pPr>
        <w:ind w:firstLine="1038"/>
        <w:rPr>
          <w:sz w:val="44"/>
          <w:szCs w:val="44"/>
        </w:rPr>
      </w:pPr>
    </w:p>
    <w:p>
      <w:pPr>
        <w:adjustRightInd w:val="0"/>
        <w:snapToGrid w:val="0"/>
        <w:spacing w:line="288" w:lineRule="auto"/>
        <w:rPr>
          <w:sz w:val="44"/>
          <w:szCs w:val="44"/>
        </w:rPr>
      </w:pPr>
    </w:p>
    <w:p>
      <w:pPr>
        <w:adjustRightInd w:val="0"/>
        <w:snapToGrid w:val="0"/>
        <w:spacing w:line="288" w:lineRule="auto"/>
        <w:rPr>
          <w:sz w:val="44"/>
          <w:szCs w:val="44"/>
        </w:rPr>
      </w:pPr>
    </w:p>
    <w:p>
      <w:pPr>
        <w:adjustRightInd w:val="0"/>
        <w:snapToGrid w:val="0"/>
        <w:spacing w:line="288" w:lineRule="auto"/>
        <w:ind w:left="1800" w:hanging="1800" w:hangingChars="500"/>
        <w:jc w:val="left"/>
        <w:rPr>
          <w:rFonts w:ascii="仿宋" w:hAnsi="仿宋" w:eastAsia="仿宋"/>
          <w:sz w:val="36"/>
          <w:szCs w:val="36"/>
          <w:u w:val="single"/>
        </w:rPr>
      </w:pPr>
      <w:r>
        <w:rPr>
          <w:rFonts w:hint="eastAsia" w:ascii="仿宋" w:hAnsi="仿宋" w:eastAsia="仿宋"/>
          <w:sz w:val="36"/>
          <w:szCs w:val="36"/>
        </w:rPr>
        <w:t>项目名称：</w:t>
      </w:r>
      <w:r>
        <w:rPr>
          <w:rFonts w:ascii="仿宋" w:hAnsi="仿宋" w:eastAsia="仿宋"/>
          <w:sz w:val="36"/>
          <w:szCs w:val="36"/>
          <w:u w:val="single"/>
        </w:rPr>
        <w:t>内蒙古晟能能源有限责任公司有价金属回收利用技改项目</w:t>
      </w:r>
      <w:r>
        <w:rPr>
          <w:rFonts w:hint="eastAsia" w:ascii="仿宋" w:hAnsi="仿宋" w:eastAsia="仿宋"/>
          <w:sz w:val="36"/>
          <w:szCs w:val="36"/>
          <w:u w:val="single"/>
        </w:rPr>
        <w:t xml:space="preserve"> </w:t>
      </w:r>
      <w:r>
        <w:rPr>
          <w:rFonts w:ascii="仿宋" w:hAnsi="仿宋" w:eastAsia="仿宋"/>
          <w:sz w:val="36"/>
          <w:szCs w:val="36"/>
          <w:u w:val="single"/>
        </w:rPr>
        <w:t xml:space="preserve">                         </w:t>
      </w:r>
    </w:p>
    <w:p>
      <w:pPr>
        <w:adjustRightInd w:val="0"/>
        <w:snapToGrid w:val="0"/>
        <w:spacing w:line="288" w:lineRule="auto"/>
        <w:rPr>
          <w:sz w:val="36"/>
          <w:szCs w:val="36"/>
          <w:u w:val="single"/>
        </w:rPr>
      </w:pPr>
      <w:r>
        <w:rPr>
          <w:rFonts w:hint="eastAsia" w:ascii="仿宋" w:hAnsi="仿宋" w:eastAsia="仿宋"/>
          <w:sz w:val="36"/>
          <w:szCs w:val="36"/>
        </w:rPr>
        <w:t>建设单位（盖章）：</w:t>
      </w:r>
      <w:r>
        <w:rPr>
          <w:rFonts w:hint="eastAsia" w:ascii="仿宋" w:hAnsi="仿宋" w:eastAsia="仿宋"/>
          <w:sz w:val="36"/>
          <w:szCs w:val="36"/>
          <w:u w:val="single"/>
        </w:rPr>
        <w:t xml:space="preserve">内蒙古晟能能源有限责任公司 </w:t>
      </w:r>
      <w:r>
        <w:rPr>
          <w:rFonts w:ascii="仿宋" w:hAnsi="仿宋" w:eastAsia="仿宋"/>
          <w:sz w:val="36"/>
          <w:szCs w:val="36"/>
          <w:u w:val="single"/>
        </w:rPr>
        <w:t xml:space="preserve">    </w:t>
      </w:r>
      <w:r>
        <w:rPr>
          <w:sz w:val="36"/>
          <w:szCs w:val="36"/>
        </w:rPr>
        <w:t xml:space="preserve">    </w:t>
      </w:r>
      <w:r>
        <w:rPr>
          <w:rFonts w:hint="eastAsia"/>
          <w:sz w:val="36"/>
          <w:szCs w:val="36"/>
        </w:rPr>
        <w:t xml:space="preserve"> </w:t>
      </w:r>
      <w:r>
        <w:rPr>
          <w:sz w:val="36"/>
          <w:szCs w:val="36"/>
        </w:rPr>
        <w:t xml:space="preserve">  </w:t>
      </w:r>
      <w:r>
        <w:rPr>
          <w:sz w:val="36"/>
          <w:szCs w:val="36"/>
          <w:u w:val="single"/>
        </w:rPr>
        <w:t xml:space="preserve">                       </w:t>
      </w:r>
    </w:p>
    <w:p>
      <w:pPr>
        <w:adjustRightInd w:val="0"/>
        <w:snapToGrid w:val="0"/>
        <w:spacing w:line="288" w:lineRule="auto"/>
        <w:rPr>
          <w:rFonts w:ascii="仿宋" w:hAnsi="仿宋" w:eastAsia="仿宋"/>
          <w:sz w:val="36"/>
          <w:szCs w:val="36"/>
          <w:u w:val="single"/>
        </w:rPr>
      </w:pPr>
      <w:r>
        <w:rPr>
          <w:rFonts w:hint="eastAsia" w:ascii="仿宋" w:hAnsi="仿宋" w:eastAsia="仿宋"/>
          <w:sz w:val="36"/>
          <w:szCs w:val="36"/>
        </w:rPr>
        <w:t>编制日期：</w:t>
      </w:r>
      <w:r>
        <w:rPr>
          <w:rFonts w:hint="eastAsia" w:ascii="仿宋" w:hAnsi="仿宋" w:eastAsia="仿宋"/>
          <w:sz w:val="36"/>
          <w:szCs w:val="36"/>
          <w:u w:val="single"/>
        </w:rPr>
        <w:t xml:space="preserve"> </w:t>
      </w:r>
      <w:r>
        <w:rPr>
          <w:rFonts w:ascii="仿宋" w:hAnsi="仿宋" w:eastAsia="仿宋"/>
          <w:sz w:val="36"/>
          <w:szCs w:val="36"/>
          <w:u w:val="single"/>
        </w:rPr>
        <w:t xml:space="preserve">       </w:t>
      </w:r>
      <w:r>
        <w:rPr>
          <w:rFonts w:hint="eastAsia" w:ascii="仿宋" w:hAnsi="仿宋" w:eastAsia="仿宋"/>
          <w:sz w:val="36"/>
          <w:szCs w:val="36"/>
          <w:u w:val="single"/>
        </w:rPr>
        <w:t xml:space="preserve">二零二五年十一月  </w:t>
      </w:r>
      <w:r>
        <w:rPr>
          <w:rFonts w:ascii="仿宋" w:hAnsi="仿宋" w:eastAsia="仿宋"/>
          <w:sz w:val="36"/>
          <w:szCs w:val="36"/>
          <w:u w:val="single"/>
        </w:rPr>
        <w:t xml:space="preserve"> </w:t>
      </w:r>
      <w:r>
        <w:rPr>
          <w:rFonts w:hint="eastAsia" w:ascii="仿宋" w:hAnsi="仿宋" w:eastAsia="仿宋"/>
          <w:sz w:val="36"/>
          <w:szCs w:val="36"/>
          <w:u w:val="single"/>
        </w:rPr>
        <w:t xml:space="preserve">   </w:t>
      </w:r>
      <w:r>
        <w:rPr>
          <w:rFonts w:ascii="仿宋" w:hAnsi="仿宋" w:eastAsia="仿宋"/>
          <w:sz w:val="36"/>
          <w:szCs w:val="36"/>
          <w:u w:val="single"/>
        </w:rPr>
        <w:t xml:space="preserve">             </w:t>
      </w:r>
    </w:p>
    <w:p>
      <w:pPr>
        <w:adjustRightInd w:val="0"/>
        <w:snapToGrid w:val="0"/>
        <w:spacing w:line="288" w:lineRule="auto"/>
        <w:ind w:firstLine="1080" w:firstLineChars="300"/>
        <w:rPr>
          <w:sz w:val="36"/>
          <w:szCs w:val="36"/>
          <w:u w:val="single"/>
        </w:rPr>
      </w:pPr>
      <w:r>
        <w:rPr>
          <w:sz w:val="36"/>
          <w:szCs w:val="36"/>
        </w:rPr>
        <w:t xml:space="preserve">  </w:t>
      </w:r>
      <w:r>
        <w:rPr>
          <w:rFonts w:hint="eastAsia"/>
          <w:sz w:val="36"/>
          <w:szCs w:val="36"/>
        </w:rPr>
        <w:t xml:space="preserve"> </w:t>
      </w:r>
      <w:r>
        <w:rPr>
          <w:sz w:val="36"/>
          <w:szCs w:val="36"/>
        </w:rPr>
        <w:t xml:space="preserve">   </w:t>
      </w:r>
    </w:p>
    <w:p>
      <w:pPr>
        <w:adjustRightInd w:val="0"/>
        <w:snapToGrid w:val="0"/>
        <w:spacing w:line="288" w:lineRule="auto"/>
        <w:ind w:firstLine="1040"/>
        <w:rPr>
          <w:sz w:val="36"/>
          <w:szCs w:val="36"/>
        </w:rPr>
      </w:pPr>
    </w:p>
    <w:p>
      <w:pPr>
        <w:adjustRightInd w:val="0"/>
        <w:snapToGrid w:val="0"/>
        <w:spacing w:line="288" w:lineRule="auto"/>
        <w:ind w:firstLine="1040"/>
        <w:rPr>
          <w:sz w:val="36"/>
          <w:szCs w:val="36"/>
        </w:rPr>
      </w:pPr>
    </w:p>
    <w:p>
      <w:pPr>
        <w:adjustRightInd w:val="0"/>
        <w:snapToGrid w:val="0"/>
        <w:spacing w:line="288" w:lineRule="auto"/>
        <w:rPr>
          <w:sz w:val="36"/>
          <w:szCs w:val="36"/>
        </w:rPr>
      </w:pPr>
      <w:r>
        <w:rPr>
          <w:rFonts w:hint="eastAsia"/>
          <w:sz w:val="36"/>
          <w:szCs w:val="36"/>
        </w:rPr>
        <w:t xml:space="preserve"> </w:t>
      </w:r>
      <w:r>
        <w:rPr>
          <w:sz w:val="36"/>
          <w:szCs w:val="36"/>
        </w:rPr>
        <w:t xml:space="preserve">     </w:t>
      </w:r>
    </w:p>
    <w:p>
      <w:pPr>
        <w:adjustRightInd w:val="0"/>
        <w:snapToGrid w:val="0"/>
        <w:spacing w:line="288" w:lineRule="auto"/>
        <w:rPr>
          <w:sz w:val="36"/>
          <w:szCs w:val="36"/>
        </w:rPr>
      </w:pPr>
    </w:p>
    <w:p>
      <w:pPr>
        <w:adjustRightInd w:val="0"/>
        <w:snapToGrid w:val="0"/>
        <w:spacing w:line="288" w:lineRule="auto"/>
        <w:jc w:val="center"/>
        <w:rPr>
          <w:rFonts w:ascii="黑体" w:hAnsi="黑体" w:eastAsia="黑体"/>
          <w:snapToGrid w:val="0"/>
          <w:sz w:val="30"/>
          <w:szCs w:val="30"/>
        </w:rPr>
        <w:sectPr>
          <w:headerReference r:id="rId3" w:type="default"/>
          <w:footerReference r:id="rId5" w:type="default"/>
          <w:headerReference r:id="rId4" w:type="even"/>
          <w:pgSz w:w="11906" w:h="16838"/>
          <w:pgMar w:top="1701" w:right="1531" w:bottom="1985" w:left="1531" w:header="850" w:footer="1077" w:gutter="0"/>
          <w:pgNumType w:start="1"/>
          <w:cols w:space="720" w:num="1"/>
          <w:docGrid w:linePitch="312" w:charSpace="0"/>
        </w:sectPr>
      </w:pPr>
      <w:r>
        <w:rPr>
          <w:rFonts w:hint="eastAsia" w:ascii="楷体" w:hAnsi="楷体" w:eastAsia="楷体"/>
          <w:b/>
          <w:bCs/>
          <w:sz w:val="36"/>
          <w:szCs w:val="36"/>
        </w:rPr>
        <w:t>中华人民共和国生态环境部</w:t>
      </w:r>
    </w:p>
    <w:bookmarkEnd w:id="1"/>
    <w:bookmarkEnd w:id="2"/>
    <w:p>
      <w:pPr>
        <w:pStyle w:val="90"/>
        <w:ind w:firstLine="0"/>
        <w:rPr>
          <w:rFonts w:hint="default"/>
          <w:color w:val="auto"/>
        </w:rPr>
      </w:pPr>
      <w:r>
        <w:rPr>
          <w:color w:val="auto"/>
        </w:rPr>
        <w:t>建设项目基本情况</w:t>
      </w:r>
    </w:p>
    <w:tbl>
      <w:tblPr>
        <w:tblStyle w:val="23"/>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
      <w:tblGrid>
        <w:gridCol w:w="2133"/>
        <w:gridCol w:w="1886"/>
        <w:gridCol w:w="2119"/>
        <w:gridCol w:w="273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2133" w:type="dxa"/>
            <w:tcMar>
              <w:top w:w="16" w:type="dxa"/>
              <w:left w:w="16" w:type="dxa"/>
              <w:right w:w="16" w:type="dxa"/>
            </w:tcMar>
            <w:vAlign w:val="center"/>
          </w:tcPr>
          <w:p>
            <w:pPr>
              <w:pStyle w:val="86"/>
              <w:rPr>
                <w:rFonts w:hint="default" w:ascii="Times New Roman" w:hAnsi="Times New Roman" w:cs="Times New Roman"/>
              </w:rPr>
            </w:pPr>
            <w:r>
              <w:rPr>
                <w:rFonts w:hint="default" w:ascii="Times New Roman" w:hAnsi="Times New Roman" w:cs="Times New Roman"/>
              </w:rPr>
              <w:t>建设项目名称</w:t>
            </w:r>
          </w:p>
        </w:tc>
        <w:tc>
          <w:tcPr>
            <w:tcW w:w="6737" w:type="dxa"/>
            <w:gridSpan w:val="3"/>
            <w:vAlign w:val="center"/>
          </w:tcPr>
          <w:p>
            <w:pPr>
              <w:pStyle w:val="86"/>
              <w:rPr>
                <w:rFonts w:hint="default" w:ascii="Times New Roman" w:hAnsi="Times New Roman" w:cs="Times New Roman"/>
              </w:rPr>
            </w:pPr>
            <w:bookmarkStart w:id="3" w:name="OLE_LINK135"/>
            <w:bookmarkStart w:id="4" w:name="OLE_LINK3"/>
            <w:bookmarkStart w:id="5" w:name="OLE_LINK712"/>
            <w:bookmarkStart w:id="6" w:name="OLE_LINK713"/>
            <w:bookmarkStart w:id="7" w:name="OLE_LINK292"/>
            <w:bookmarkStart w:id="8" w:name="OLE_LINK94"/>
            <w:bookmarkStart w:id="9" w:name="OLE_LINK4"/>
            <w:r>
              <w:rPr>
                <w:rFonts w:hint="default" w:ascii="Times New Roman" w:hAnsi="Times New Roman" w:cs="Times New Roman"/>
              </w:rPr>
              <w:t>内蒙古晟能能源有限责任公司有价金属回收利用技改项目</w:t>
            </w:r>
            <w:bookmarkEnd w:id="3"/>
            <w:bookmarkEnd w:id="4"/>
            <w:bookmarkEnd w:id="5"/>
            <w:bookmarkEnd w:id="6"/>
            <w:bookmarkEnd w:id="7"/>
            <w:bookmarkEnd w:id="8"/>
            <w:bookmarkEnd w:id="9"/>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2133" w:type="dxa"/>
            <w:tcMar>
              <w:top w:w="16" w:type="dxa"/>
              <w:left w:w="16" w:type="dxa"/>
              <w:right w:w="16" w:type="dxa"/>
            </w:tcMar>
            <w:vAlign w:val="center"/>
          </w:tcPr>
          <w:p>
            <w:pPr>
              <w:pStyle w:val="86"/>
              <w:rPr>
                <w:rFonts w:hint="default" w:ascii="Times New Roman" w:hAnsi="Times New Roman" w:cs="Times New Roman"/>
              </w:rPr>
            </w:pPr>
            <w:r>
              <w:rPr>
                <w:rFonts w:hint="default" w:ascii="Times New Roman" w:hAnsi="Times New Roman" w:cs="Times New Roman"/>
              </w:rPr>
              <w:t>项目代码</w:t>
            </w:r>
          </w:p>
        </w:tc>
        <w:tc>
          <w:tcPr>
            <w:tcW w:w="6737" w:type="dxa"/>
            <w:gridSpan w:val="3"/>
            <w:vAlign w:val="center"/>
          </w:tcPr>
          <w:p>
            <w:pPr>
              <w:pStyle w:val="86"/>
              <w:rPr>
                <w:rFonts w:hint="default" w:ascii="Times New Roman" w:hAnsi="Times New Roman" w:cs="Times New Roman"/>
              </w:rPr>
            </w:pPr>
            <w:bookmarkStart w:id="10" w:name="OLE_LINK706"/>
            <w:bookmarkStart w:id="11" w:name="OLE_LINK705"/>
            <w:r>
              <w:rPr>
                <w:rFonts w:hint="default" w:ascii="Times New Roman" w:hAnsi="Times New Roman" w:cs="Times New Roman"/>
              </w:rPr>
              <w:t>2509-150621-07-01-987707</w:t>
            </w:r>
            <w:bookmarkEnd w:id="10"/>
            <w:bookmarkEnd w:id="11"/>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2133" w:type="dxa"/>
            <w:tcMar>
              <w:top w:w="16" w:type="dxa"/>
              <w:left w:w="16" w:type="dxa"/>
              <w:right w:w="16" w:type="dxa"/>
            </w:tcMar>
            <w:vAlign w:val="center"/>
          </w:tcPr>
          <w:p>
            <w:pPr>
              <w:pStyle w:val="86"/>
              <w:rPr>
                <w:rFonts w:hint="default" w:ascii="Times New Roman" w:hAnsi="Times New Roman" w:cs="Times New Roman"/>
              </w:rPr>
            </w:pPr>
            <w:r>
              <w:rPr>
                <w:rFonts w:hint="default" w:ascii="Times New Roman" w:hAnsi="Times New Roman" w:cs="Times New Roman"/>
              </w:rPr>
              <w:t>建设单位联系人</w:t>
            </w:r>
          </w:p>
        </w:tc>
        <w:tc>
          <w:tcPr>
            <w:tcW w:w="1886" w:type="dxa"/>
            <w:vAlign w:val="center"/>
          </w:tcPr>
          <w:p>
            <w:pPr>
              <w:pStyle w:val="86"/>
              <w:rPr>
                <w:rFonts w:hint="default" w:ascii="Times New Roman" w:hAnsi="Times New Roman" w:cs="Times New Roman"/>
              </w:rPr>
            </w:pPr>
            <w:bookmarkStart w:id="12" w:name="OLE_LINK129"/>
            <w:bookmarkStart w:id="13" w:name="OLE_LINK128"/>
            <w:bookmarkStart w:id="14" w:name="OLE_LINK131"/>
            <w:bookmarkStart w:id="15" w:name="OLE_LINK130"/>
            <w:r>
              <w:rPr>
                <w:rFonts w:hint="default" w:ascii="Times New Roman" w:hAnsi="Times New Roman" w:cs="Times New Roman"/>
              </w:rPr>
              <w:t>杨正</w:t>
            </w:r>
            <w:bookmarkEnd w:id="12"/>
            <w:bookmarkEnd w:id="13"/>
            <w:r>
              <w:rPr>
                <w:rFonts w:hint="default" w:ascii="Times New Roman" w:hAnsi="Times New Roman" w:cs="Times New Roman"/>
              </w:rPr>
              <w:t>军</w:t>
            </w:r>
            <w:bookmarkEnd w:id="14"/>
            <w:bookmarkEnd w:id="15"/>
          </w:p>
        </w:tc>
        <w:tc>
          <w:tcPr>
            <w:tcW w:w="2119" w:type="dxa"/>
            <w:vAlign w:val="center"/>
          </w:tcPr>
          <w:p>
            <w:pPr>
              <w:pStyle w:val="86"/>
              <w:rPr>
                <w:rFonts w:hint="default" w:ascii="Times New Roman" w:hAnsi="Times New Roman" w:cs="Times New Roman"/>
              </w:rPr>
            </w:pPr>
            <w:r>
              <w:rPr>
                <w:rFonts w:hint="default" w:ascii="Times New Roman" w:hAnsi="Times New Roman" w:cs="Times New Roman"/>
              </w:rPr>
              <w:t>联系方式</w:t>
            </w:r>
          </w:p>
        </w:tc>
        <w:tc>
          <w:tcPr>
            <w:tcW w:w="2732" w:type="dxa"/>
            <w:vAlign w:val="center"/>
          </w:tcPr>
          <w:p>
            <w:pPr>
              <w:pStyle w:val="86"/>
              <w:rPr>
                <w:rFonts w:hint="default" w:ascii="Times New Roman" w:hAnsi="Times New Roman" w:cs="Times New Roman"/>
              </w:rPr>
            </w:pPr>
            <w:r>
              <w:rPr>
                <w:rFonts w:hint="default" w:ascii="Times New Roman" w:hAnsi="Times New Roman" w:cs="Times New Roman"/>
              </w:rPr>
              <w:t>15149412558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2133" w:type="dxa"/>
            <w:tcMar>
              <w:top w:w="16" w:type="dxa"/>
              <w:left w:w="16" w:type="dxa"/>
              <w:right w:w="16" w:type="dxa"/>
            </w:tcMar>
            <w:vAlign w:val="center"/>
          </w:tcPr>
          <w:p>
            <w:pPr>
              <w:pStyle w:val="86"/>
              <w:rPr>
                <w:rFonts w:hint="default" w:ascii="Times New Roman" w:hAnsi="Times New Roman" w:cs="Times New Roman"/>
              </w:rPr>
            </w:pPr>
            <w:r>
              <w:rPr>
                <w:rFonts w:hint="default" w:ascii="Times New Roman" w:hAnsi="Times New Roman" w:cs="Times New Roman"/>
              </w:rPr>
              <w:t>建设地点</w:t>
            </w:r>
          </w:p>
        </w:tc>
        <w:tc>
          <w:tcPr>
            <w:tcW w:w="6737" w:type="dxa"/>
            <w:gridSpan w:val="3"/>
            <w:vAlign w:val="center"/>
          </w:tcPr>
          <w:p>
            <w:pPr>
              <w:pStyle w:val="86"/>
              <w:rPr>
                <w:rFonts w:hint="default" w:ascii="Times New Roman" w:hAnsi="Times New Roman" w:cs="Times New Roman"/>
              </w:rPr>
            </w:pPr>
            <w:bookmarkStart w:id="16" w:name="_Hlk212641345"/>
            <w:bookmarkStart w:id="17" w:name="OLE_LINK294"/>
            <w:r>
              <w:rPr>
                <w:kern w:val="0"/>
              </w:rPr>
              <w:t>内蒙古鄂尔多斯达拉特经济开发区达拉特产业园三垧梁工业片区</w:t>
            </w:r>
            <w:bookmarkEnd w:id="16"/>
            <w:bookmarkEnd w:id="17"/>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2133" w:type="dxa"/>
            <w:tcMar>
              <w:top w:w="16" w:type="dxa"/>
              <w:left w:w="16" w:type="dxa"/>
              <w:right w:w="16" w:type="dxa"/>
            </w:tcMar>
            <w:vAlign w:val="center"/>
          </w:tcPr>
          <w:p>
            <w:pPr>
              <w:pStyle w:val="86"/>
              <w:rPr>
                <w:rFonts w:hint="default" w:ascii="Times New Roman" w:hAnsi="Times New Roman" w:cs="Times New Roman"/>
              </w:rPr>
            </w:pPr>
            <w:r>
              <w:rPr>
                <w:rFonts w:hint="default" w:ascii="Times New Roman" w:hAnsi="Times New Roman" w:cs="Times New Roman"/>
              </w:rPr>
              <w:t>地理坐标</w:t>
            </w:r>
          </w:p>
        </w:tc>
        <w:tc>
          <w:tcPr>
            <w:tcW w:w="6737" w:type="dxa"/>
            <w:gridSpan w:val="3"/>
            <w:vAlign w:val="center"/>
          </w:tcPr>
          <w:p>
            <w:pPr>
              <w:pStyle w:val="86"/>
              <w:rPr>
                <w:rFonts w:hint="default" w:ascii="Times New Roman" w:hAnsi="Times New Roman" w:cs="Times New Roman"/>
              </w:rPr>
            </w:pPr>
            <w:bookmarkStart w:id="18" w:name="OLE_LINK134"/>
            <w:r>
              <w:rPr>
                <w:rFonts w:hint="default" w:ascii="Times New Roman" w:hAnsi="Times New Roman" w:cs="Times New Roman"/>
              </w:rPr>
              <w:t>（ 110度 6 分 45 .501 秒， 40 度 19 分38.373 秒）</w:t>
            </w:r>
            <w:bookmarkEnd w:id="18"/>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2133" w:type="dxa"/>
            <w:tcMar>
              <w:top w:w="16" w:type="dxa"/>
              <w:left w:w="16" w:type="dxa"/>
              <w:right w:w="16" w:type="dxa"/>
            </w:tcMar>
            <w:vAlign w:val="center"/>
          </w:tcPr>
          <w:p>
            <w:pPr>
              <w:pStyle w:val="86"/>
              <w:rPr>
                <w:rFonts w:hint="default" w:ascii="Times New Roman" w:hAnsi="Times New Roman" w:cs="Times New Roman"/>
              </w:rPr>
            </w:pPr>
            <w:r>
              <w:rPr>
                <w:rFonts w:hint="default" w:ascii="Times New Roman" w:hAnsi="Times New Roman" w:cs="Times New Roman"/>
              </w:rPr>
              <w:t>国民经济行业类别</w:t>
            </w:r>
          </w:p>
        </w:tc>
        <w:tc>
          <w:tcPr>
            <w:tcW w:w="1886" w:type="dxa"/>
            <w:vAlign w:val="center"/>
          </w:tcPr>
          <w:p>
            <w:pPr>
              <w:pStyle w:val="86"/>
              <w:rPr>
                <w:rFonts w:hint="default" w:ascii="Times New Roman" w:hAnsi="Times New Roman" w:cs="Times New Roman"/>
              </w:rPr>
            </w:pPr>
            <w:r>
              <w:rPr>
                <w:rFonts w:hint="default" w:ascii="Times New Roman" w:hAnsi="Times New Roman" w:cs="Times New Roman"/>
              </w:rPr>
              <w:t>N7723固体废物治理</w:t>
            </w:r>
          </w:p>
        </w:tc>
        <w:tc>
          <w:tcPr>
            <w:tcW w:w="2119" w:type="dxa"/>
            <w:vAlign w:val="center"/>
          </w:tcPr>
          <w:p>
            <w:pPr>
              <w:pStyle w:val="86"/>
              <w:rPr>
                <w:rFonts w:hint="default" w:ascii="Times New Roman" w:hAnsi="Times New Roman" w:cs="Times New Roman"/>
              </w:rPr>
            </w:pPr>
            <w:bookmarkStart w:id="19" w:name="_Hlk49843745"/>
            <w:r>
              <w:rPr>
                <w:rFonts w:hint="default" w:ascii="Times New Roman" w:hAnsi="Times New Roman" w:cs="Times New Roman"/>
              </w:rPr>
              <w:t>建设项目行业类别</w:t>
            </w:r>
            <w:bookmarkEnd w:id="19"/>
          </w:p>
        </w:tc>
        <w:tc>
          <w:tcPr>
            <w:tcW w:w="2732" w:type="dxa"/>
            <w:vAlign w:val="center"/>
          </w:tcPr>
          <w:p>
            <w:pPr>
              <w:pStyle w:val="86"/>
              <w:rPr>
                <w:rFonts w:hint="default" w:ascii="Times New Roman" w:hAnsi="Times New Roman" w:cs="Times New Roman"/>
              </w:rPr>
            </w:pPr>
            <w:r>
              <w:rPr>
                <w:rFonts w:hint="default" w:ascii="Times New Roman" w:hAnsi="Times New Roman" w:cs="Times New Roman"/>
              </w:rPr>
              <w:t>四十七、生态保护和环境治理业 103一般工业固体废物（含污水处理污泥）、建筑施工废弃物处置及综合利用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2133" w:type="dxa"/>
            <w:tcMar>
              <w:top w:w="16" w:type="dxa"/>
              <w:left w:w="16" w:type="dxa"/>
              <w:right w:w="16" w:type="dxa"/>
            </w:tcMar>
            <w:vAlign w:val="center"/>
          </w:tcPr>
          <w:p>
            <w:pPr>
              <w:pStyle w:val="86"/>
              <w:rPr>
                <w:rFonts w:hint="default" w:ascii="Times New Roman" w:hAnsi="Times New Roman" w:cs="Times New Roman"/>
              </w:rPr>
            </w:pPr>
            <w:r>
              <w:rPr>
                <w:rFonts w:hint="default" w:ascii="Times New Roman" w:hAnsi="Times New Roman" w:cs="Times New Roman"/>
              </w:rPr>
              <w:t>建设性质</w:t>
            </w:r>
          </w:p>
        </w:tc>
        <w:tc>
          <w:tcPr>
            <w:tcW w:w="1886" w:type="dxa"/>
            <w:vAlign w:val="center"/>
          </w:tcPr>
          <w:p>
            <w:pPr>
              <w:pStyle w:val="86"/>
              <w:jc w:val="left"/>
              <w:rPr>
                <w:rFonts w:hint="default" w:ascii="Times New Roman" w:hAnsi="Times New Roman" w:cs="Times New Roman"/>
              </w:rPr>
            </w:pPr>
            <w:r>
              <w:rPr>
                <w:rFonts w:hint="default" w:ascii="Times New Roman" w:hAnsi="Times New Roman" w:cs="Times New Roman"/>
              </w:rPr>
              <w:sym w:font="Wingdings 2" w:char="00A3"/>
            </w:r>
            <w:r>
              <w:rPr>
                <w:rFonts w:hint="default" w:ascii="Times New Roman" w:hAnsi="Times New Roman" w:cs="Times New Roman"/>
              </w:rPr>
              <w:t>新建（迁建）</w:t>
            </w:r>
          </w:p>
          <w:p>
            <w:pPr>
              <w:pStyle w:val="86"/>
              <w:jc w:val="left"/>
              <w:rPr>
                <w:rFonts w:hint="default" w:ascii="Times New Roman" w:hAnsi="Times New Roman" w:cs="Times New Roman"/>
              </w:rPr>
            </w:pPr>
            <w:r>
              <w:rPr>
                <w:rFonts w:hint="default" w:ascii="Times New Roman" w:hAnsi="Times New Roman" w:cs="Times New Roman"/>
              </w:rPr>
              <w:sym w:font="Wingdings 2" w:char="00A3"/>
            </w:r>
            <w:r>
              <w:rPr>
                <w:rFonts w:hint="default" w:ascii="Times New Roman" w:hAnsi="Times New Roman" w:cs="Times New Roman"/>
              </w:rPr>
              <w:t>改建</w:t>
            </w:r>
          </w:p>
          <w:p>
            <w:pPr>
              <w:pStyle w:val="86"/>
              <w:jc w:val="left"/>
              <w:rPr>
                <w:rFonts w:hint="default" w:ascii="Times New Roman" w:hAnsi="Times New Roman" w:cs="Times New Roman"/>
              </w:rPr>
            </w:pPr>
            <w:r>
              <w:rPr>
                <w:rFonts w:hint="default" w:ascii="Times New Roman" w:hAnsi="Times New Roman" w:cs="Times New Roman"/>
              </w:rPr>
              <w:sym w:font="Wingdings 2" w:char="00A3"/>
            </w:r>
            <w:r>
              <w:rPr>
                <w:rFonts w:hint="default" w:ascii="Times New Roman" w:hAnsi="Times New Roman" w:cs="Times New Roman"/>
              </w:rPr>
              <w:t>扩建</w:t>
            </w:r>
          </w:p>
          <w:p>
            <w:pPr>
              <w:pStyle w:val="86"/>
              <w:jc w:val="left"/>
              <w:rPr>
                <w:rFonts w:hint="default" w:ascii="Times New Roman" w:hAnsi="Times New Roman" w:cs="Times New Roman"/>
              </w:rPr>
            </w:pPr>
            <w:r>
              <w:rPr>
                <w:rFonts w:hint="default" w:ascii="Times New Roman" w:hAnsi="Times New Roman" w:cs="Times New Roman"/>
              </w:rPr>
              <w:sym w:font="Wingdings 2" w:char="0052"/>
            </w:r>
            <w:bookmarkStart w:id="20" w:name="_Hlk212641441"/>
            <w:r>
              <w:rPr>
                <w:rFonts w:hint="default" w:ascii="Times New Roman" w:hAnsi="Times New Roman" w:cs="Times New Roman"/>
              </w:rPr>
              <w:t>技术改造</w:t>
            </w:r>
            <w:bookmarkEnd w:id="20"/>
          </w:p>
        </w:tc>
        <w:tc>
          <w:tcPr>
            <w:tcW w:w="2119" w:type="dxa"/>
            <w:vAlign w:val="center"/>
          </w:tcPr>
          <w:p>
            <w:pPr>
              <w:pStyle w:val="86"/>
              <w:rPr>
                <w:rFonts w:hint="default" w:ascii="Times New Roman" w:hAnsi="Times New Roman" w:cs="Times New Roman"/>
              </w:rPr>
            </w:pPr>
            <w:r>
              <w:rPr>
                <w:rFonts w:hint="default" w:ascii="Times New Roman" w:hAnsi="Times New Roman" w:cs="Times New Roman"/>
              </w:rPr>
              <w:t>建设项目</w:t>
            </w:r>
          </w:p>
          <w:p>
            <w:pPr>
              <w:pStyle w:val="86"/>
              <w:rPr>
                <w:rFonts w:hint="default" w:ascii="Times New Roman" w:hAnsi="Times New Roman" w:cs="Times New Roman"/>
              </w:rPr>
            </w:pPr>
            <w:r>
              <w:rPr>
                <w:rFonts w:hint="default" w:ascii="Times New Roman" w:hAnsi="Times New Roman" w:cs="Times New Roman"/>
              </w:rPr>
              <w:t>申报情形</w:t>
            </w:r>
          </w:p>
        </w:tc>
        <w:tc>
          <w:tcPr>
            <w:tcW w:w="2732" w:type="dxa"/>
            <w:vAlign w:val="center"/>
          </w:tcPr>
          <w:p>
            <w:pPr>
              <w:pStyle w:val="86"/>
              <w:jc w:val="left"/>
              <w:rPr>
                <w:rFonts w:hint="default" w:ascii="Times New Roman" w:hAnsi="Times New Roman" w:cs="Times New Roman"/>
              </w:rPr>
            </w:pPr>
            <w:r>
              <w:rPr>
                <w:rFonts w:hint="default" w:ascii="Times New Roman" w:hAnsi="Times New Roman" w:cs="Times New Roman"/>
              </w:rPr>
              <w:sym w:font="Wingdings 2" w:char="0052"/>
            </w:r>
            <w:r>
              <w:rPr>
                <w:rFonts w:hint="default" w:ascii="Times New Roman" w:hAnsi="Times New Roman" w:cs="Times New Roman"/>
              </w:rPr>
              <w:t>首次申报项目</w:t>
            </w:r>
          </w:p>
          <w:p>
            <w:pPr>
              <w:pStyle w:val="86"/>
              <w:jc w:val="left"/>
              <w:rPr>
                <w:rFonts w:hint="default" w:ascii="Times New Roman" w:hAnsi="Times New Roman" w:cs="Times New Roman"/>
              </w:rPr>
            </w:pPr>
            <w:r>
              <w:rPr>
                <w:rFonts w:hint="default" w:ascii="Times New Roman" w:hAnsi="Times New Roman" w:cs="Times New Roman"/>
              </w:rPr>
              <w:sym w:font="Wingdings 2" w:char="00A3"/>
            </w:r>
            <w:r>
              <w:rPr>
                <w:rFonts w:hint="default" w:ascii="Times New Roman" w:hAnsi="Times New Roman" w:cs="Times New Roman"/>
              </w:rPr>
              <w:t>不予批准后再次申报项目</w:t>
            </w:r>
          </w:p>
          <w:p>
            <w:pPr>
              <w:pStyle w:val="86"/>
              <w:jc w:val="left"/>
              <w:rPr>
                <w:rFonts w:hint="default" w:ascii="Times New Roman" w:hAnsi="Times New Roman" w:cs="Times New Roman"/>
              </w:rPr>
            </w:pPr>
            <w:r>
              <w:rPr>
                <w:rFonts w:hint="default" w:ascii="Times New Roman" w:hAnsi="Times New Roman" w:cs="Times New Roman"/>
              </w:rPr>
              <w:sym w:font="Wingdings 2" w:char="00A3"/>
            </w:r>
            <w:r>
              <w:rPr>
                <w:rFonts w:hint="default" w:ascii="Times New Roman" w:hAnsi="Times New Roman" w:cs="Times New Roman"/>
              </w:rPr>
              <w:t>超五年重新审核项目</w:t>
            </w:r>
          </w:p>
          <w:p>
            <w:pPr>
              <w:pStyle w:val="86"/>
              <w:jc w:val="left"/>
              <w:rPr>
                <w:rFonts w:hint="default" w:ascii="Times New Roman" w:hAnsi="Times New Roman" w:cs="Times New Roman"/>
              </w:rPr>
            </w:pPr>
            <w:r>
              <w:rPr>
                <w:rFonts w:hint="default" w:ascii="Times New Roman" w:hAnsi="Times New Roman" w:cs="Times New Roman"/>
              </w:rPr>
              <w:sym w:font="Wingdings 2" w:char="00A3"/>
            </w:r>
            <w:r>
              <w:rPr>
                <w:rFonts w:hint="default" w:ascii="Times New Roman" w:hAnsi="Times New Roman" w:cs="Times New Roman"/>
              </w:rPr>
              <w:t>重大变动重新报批项目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2133" w:type="dxa"/>
            <w:tcMar>
              <w:top w:w="16" w:type="dxa"/>
              <w:left w:w="16" w:type="dxa"/>
              <w:right w:w="16" w:type="dxa"/>
            </w:tcMar>
            <w:vAlign w:val="center"/>
          </w:tcPr>
          <w:p>
            <w:pPr>
              <w:pStyle w:val="86"/>
              <w:rPr>
                <w:rFonts w:hint="default" w:ascii="Times New Roman" w:hAnsi="Times New Roman" w:cs="Times New Roman"/>
              </w:rPr>
            </w:pPr>
            <w:r>
              <w:rPr>
                <w:rFonts w:hint="default" w:ascii="Times New Roman" w:hAnsi="Times New Roman" w:cs="Times New Roman"/>
              </w:rPr>
              <w:t>项目审批（核准/</w:t>
            </w:r>
          </w:p>
          <w:p>
            <w:pPr>
              <w:pStyle w:val="86"/>
              <w:rPr>
                <w:rFonts w:hint="default" w:ascii="Times New Roman" w:hAnsi="Times New Roman" w:cs="Times New Roman"/>
              </w:rPr>
            </w:pPr>
            <w:r>
              <w:rPr>
                <w:rFonts w:hint="default" w:ascii="Times New Roman" w:hAnsi="Times New Roman" w:cs="Times New Roman"/>
              </w:rPr>
              <w:t>备案）部门（选填）</w:t>
            </w:r>
          </w:p>
        </w:tc>
        <w:tc>
          <w:tcPr>
            <w:tcW w:w="1886" w:type="dxa"/>
            <w:vAlign w:val="center"/>
          </w:tcPr>
          <w:p>
            <w:pPr>
              <w:pStyle w:val="86"/>
              <w:rPr>
                <w:rFonts w:hint="default" w:ascii="Times New Roman" w:hAnsi="Times New Roman" w:cs="Times New Roman"/>
              </w:rPr>
            </w:pPr>
            <w:r>
              <w:rPr>
                <w:rFonts w:ascii="Times New Roman" w:hAnsi="Times New Roman" w:cs="Times New Roman"/>
              </w:rPr>
              <w:t>达拉特旗工信和科技局</w:t>
            </w:r>
          </w:p>
        </w:tc>
        <w:tc>
          <w:tcPr>
            <w:tcW w:w="2119" w:type="dxa"/>
            <w:vAlign w:val="center"/>
          </w:tcPr>
          <w:p>
            <w:pPr>
              <w:pStyle w:val="86"/>
              <w:rPr>
                <w:rFonts w:hint="default" w:ascii="Times New Roman" w:hAnsi="Times New Roman" w:cs="Times New Roman"/>
              </w:rPr>
            </w:pPr>
            <w:r>
              <w:rPr>
                <w:rFonts w:hint="default" w:ascii="Times New Roman" w:hAnsi="Times New Roman" w:cs="Times New Roman"/>
              </w:rPr>
              <w:t>项目审批（核准/</w:t>
            </w:r>
          </w:p>
          <w:p>
            <w:pPr>
              <w:pStyle w:val="86"/>
              <w:rPr>
                <w:rFonts w:hint="default" w:ascii="Times New Roman" w:hAnsi="Times New Roman" w:cs="Times New Roman"/>
              </w:rPr>
            </w:pPr>
            <w:r>
              <w:rPr>
                <w:rFonts w:hint="default" w:ascii="Times New Roman" w:hAnsi="Times New Roman" w:cs="Times New Roman"/>
              </w:rPr>
              <w:t>备案）文号（选填）</w:t>
            </w:r>
          </w:p>
        </w:tc>
        <w:tc>
          <w:tcPr>
            <w:tcW w:w="2732" w:type="dxa"/>
            <w:vAlign w:val="center"/>
          </w:tcPr>
          <w:p>
            <w:pPr>
              <w:pStyle w:val="86"/>
              <w:rPr>
                <w:rFonts w:hint="default" w:ascii="Times New Roman" w:hAnsi="Times New Roman" w:cs="Times New Roman"/>
              </w:rPr>
            </w:pPr>
            <w:r>
              <w:rPr>
                <w:rFonts w:hint="default" w:ascii="Times New Roman" w:hAnsi="Times New Roman" w:cs="Times New Roma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2133" w:type="dxa"/>
            <w:tcMar>
              <w:top w:w="16" w:type="dxa"/>
              <w:left w:w="16" w:type="dxa"/>
              <w:right w:w="16" w:type="dxa"/>
            </w:tcMar>
            <w:vAlign w:val="center"/>
          </w:tcPr>
          <w:p>
            <w:pPr>
              <w:pStyle w:val="86"/>
              <w:rPr>
                <w:rFonts w:hint="default" w:ascii="Times New Roman" w:hAnsi="Times New Roman" w:cs="Times New Roman"/>
              </w:rPr>
            </w:pPr>
            <w:r>
              <w:rPr>
                <w:rFonts w:hint="default" w:ascii="Times New Roman" w:hAnsi="Times New Roman" w:cs="Times New Roman"/>
              </w:rPr>
              <w:t>总投资（万元）</w:t>
            </w:r>
          </w:p>
        </w:tc>
        <w:tc>
          <w:tcPr>
            <w:tcW w:w="1886" w:type="dxa"/>
            <w:vAlign w:val="center"/>
          </w:tcPr>
          <w:p>
            <w:pPr>
              <w:pStyle w:val="86"/>
              <w:rPr>
                <w:rFonts w:hint="default" w:ascii="Times New Roman" w:hAnsi="Times New Roman" w:cs="Times New Roman"/>
              </w:rPr>
            </w:pPr>
            <w:r>
              <w:rPr>
                <w:rFonts w:hint="default" w:ascii="Times New Roman" w:hAnsi="Times New Roman" w:cs="Times New Roman"/>
              </w:rPr>
              <w:t>1000</w:t>
            </w:r>
          </w:p>
        </w:tc>
        <w:tc>
          <w:tcPr>
            <w:tcW w:w="2119" w:type="dxa"/>
            <w:tcMar>
              <w:top w:w="16" w:type="dxa"/>
              <w:left w:w="16" w:type="dxa"/>
              <w:right w:w="16" w:type="dxa"/>
            </w:tcMar>
            <w:vAlign w:val="center"/>
          </w:tcPr>
          <w:p>
            <w:pPr>
              <w:pStyle w:val="86"/>
              <w:rPr>
                <w:rFonts w:hint="default" w:ascii="Times New Roman" w:hAnsi="Times New Roman" w:cs="Times New Roman"/>
              </w:rPr>
            </w:pPr>
            <w:r>
              <w:rPr>
                <w:rFonts w:hint="default" w:ascii="Times New Roman" w:hAnsi="Times New Roman" w:cs="Times New Roman"/>
              </w:rPr>
              <w:t>环保投资（万元）</w:t>
            </w:r>
          </w:p>
        </w:tc>
        <w:tc>
          <w:tcPr>
            <w:tcW w:w="2732" w:type="dxa"/>
            <w:vAlign w:val="center"/>
          </w:tcPr>
          <w:p>
            <w:pPr>
              <w:pStyle w:val="86"/>
              <w:rPr>
                <w:rFonts w:hint="default" w:ascii="Times New Roman" w:hAnsi="Times New Roman" w:cs="Times New Roman"/>
              </w:rPr>
            </w:pPr>
            <w:r>
              <w:rPr>
                <w:rFonts w:hint="default" w:ascii="Times New Roman" w:hAnsi="Times New Roman" w:cs="Times New Roman"/>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2133" w:type="dxa"/>
            <w:tcMar>
              <w:top w:w="16" w:type="dxa"/>
              <w:left w:w="16" w:type="dxa"/>
              <w:right w:w="16" w:type="dxa"/>
            </w:tcMar>
            <w:vAlign w:val="center"/>
          </w:tcPr>
          <w:p>
            <w:pPr>
              <w:pStyle w:val="86"/>
              <w:rPr>
                <w:rFonts w:hint="default" w:ascii="Times New Roman" w:hAnsi="Times New Roman" w:cs="Times New Roman"/>
              </w:rPr>
            </w:pPr>
            <w:r>
              <w:rPr>
                <w:rFonts w:hint="default" w:ascii="Times New Roman" w:hAnsi="Times New Roman" w:cs="Times New Roman"/>
              </w:rPr>
              <w:t>环保投资占比（%）</w:t>
            </w:r>
          </w:p>
        </w:tc>
        <w:tc>
          <w:tcPr>
            <w:tcW w:w="1886" w:type="dxa"/>
            <w:vAlign w:val="center"/>
          </w:tcPr>
          <w:p>
            <w:pPr>
              <w:pStyle w:val="86"/>
              <w:rPr>
                <w:rFonts w:hint="default" w:ascii="Times New Roman" w:hAnsi="Times New Roman" w:cs="Times New Roman"/>
              </w:rPr>
            </w:pPr>
            <w:r>
              <w:rPr>
                <w:rFonts w:hint="default" w:ascii="Times New Roman" w:hAnsi="Times New Roman" w:cs="Times New Roman"/>
              </w:rPr>
              <w:t>1.5%</w:t>
            </w:r>
          </w:p>
        </w:tc>
        <w:tc>
          <w:tcPr>
            <w:tcW w:w="2119" w:type="dxa"/>
            <w:tcMar>
              <w:top w:w="16" w:type="dxa"/>
              <w:left w:w="16" w:type="dxa"/>
              <w:right w:w="16" w:type="dxa"/>
            </w:tcMar>
            <w:vAlign w:val="center"/>
          </w:tcPr>
          <w:p>
            <w:pPr>
              <w:pStyle w:val="86"/>
              <w:rPr>
                <w:rFonts w:hint="default" w:ascii="Times New Roman" w:hAnsi="Times New Roman" w:cs="Times New Roman"/>
              </w:rPr>
            </w:pPr>
            <w:r>
              <w:rPr>
                <w:rFonts w:hint="default" w:ascii="Times New Roman" w:hAnsi="Times New Roman" w:cs="Times New Roman"/>
              </w:rPr>
              <w:t>施工工期</w:t>
            </w:r>
          </w:p>
        </w:tc>
        <w:tc>
          <w:tcPr>
            <w:tcW w:w="2732" w:type="dxa"/>
            <w:vAlign w:val="center"/>
          </w:tcPr>
          <w:p>
            <w:pPr>
              <w:pStyle w:val="86"/>
              <w:rPr>
                <w:rFonts w:hint="default" w:ascii="Times New Roman" w:hAnsi="Times New Roman" w:cs="Times New Roman"/>
              </w:rPr>
            </w:pPr>
            <w:r>
              <w:rPr>
                <w:rFonts w:hint="default" w:ascii="Times New Roman" w:hAnsi="Times New Roman" w:cs="Times New Roman"/>
              </w:rPr>
              <w:t>3个月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2133" w:type="dxa"/>
            <w:tcMar>
              <w:top w:w="16" w:type="dxa"/>
              <w:left w:w="16" w:type="dxa"/>
              <w:right w:w="16" w:type="dxa"/>
            </w:tcMar>
            <w:vAlign w:val="center"/>
          </w:tcPr>
          <w:p>
            <w:pPr>
              <w:pStyle w:val="86"/>
              <w:rPr>
                <w:rFonts w:hint="default" w:ascii="Times New Roman" w:hAnsi="Times New Roman" w:cs="Times New Roman"/>
              </w:rPr>
            </w:pPr>
            <w:r>
              <w:rPr>
                <w:rFonts w:hint="default" w:ascii="Times New Roman" w:hAnsi="Times New Roman" w:cs="Times New Roman"/>
              </w:rPr>
              <w:t>是否开工建设</w:t>
            </w:r>
          </w:p>
        </w:tc>
        <w:tc>
          <w:tcPr>
            <w:tcW w:w="1886" w:type="dxa"/>
            <w:vAlign w:val="center"/>
          </w:tcPr>
          <w:p>
            <w:pPr>
              <w:pStyle w:val="86"/>
              <w:jc w:val="left"/>
              <w:rPr>
                <w:rFonts w:hint="default" w:ascii="Times New Roman" w:hAnsi="Times New Roman" w:cs="Times New Roman"/>
              </w:rPr>
            </w:pPr>
            <w:r>
              <w:rPr>
                <w:rFonts w:hint="default" w:ascii="Times New Roman" w:hAnsi="Times New Roman" w:cs="Times New Roman"/>
              </w:rPr>
              <w:sym w:font="Wingdings 2" w:char="0052"/>
            </w:r>
            <w:r>
              <w:rPr>
                <w:rFonts w:hint="default" w:ascii="Times New Roman" w:hAnsi="Times New Roman" w:cs="Times New Roman"/>
              </w:rPr>
              <w:t>否</w:t>
            </w:r>
          </w:p>
          <w:p>
            <w:pPr>
              <w:pStyle w:val="86"/>
              <w:jc w:val="left"/>
              <w:rPr>
                <w:rFonts w:hint="default" w:ascii="Times New Roman" w:hAnsi="Times New Roman" w:cs="Times New Roman"/>
              </w:rPr>
            </w:pPr>
            <w:r>
              <w:rPr>
                <w:rFonts w:hint="default" w:ascii="Times New Roman" w:hAnsi="Times New Roman" w:cs="Times New Roman"/>
              </w:rPr>
              <w:sym w:font="Wingdings 2" w:char="00A3"/>
            </w:r>
            <w:r>
              <w:rPr>
                <w:rFonts w:hint="default" w:ascii="Times New Roman" w:hAnsi="Times New Roman" w:cs="Times New Roman"/>
              </w:rPr>
              <w:t>是：</w:t>
            </w:r>
            <w:r>
              <w:rPr>
                <w:rFonts w:hint="default" w:ascii="Times New Roman" w:hAnsi="Times New Roman" w:cs="Times New Roman"/>
                <w:u w:val="single"/>
              </w:rPr>
              <w:t xml:space="preserve">       </w:t>
            </w:r>
            <w:r>
              <w:rPr>
                <w:rFonts w:hint="default" w:ascii="Times New Roman" w:hAnsi="Times New Roman" w:cs="Times New Roman"/>
              </w:rPr>
              <w:t xml:space="preserve"> </w:t>
            </w:r>
          </w:p>
        </w:tc>
        <w:tc>
          <w:tcPr>
            <w:tcW w:w="2119" w:type="dxa"/>
            <w:tcMar>
              <w:top w:w="16" w:type="dxa"/>
              <w:left w:w="16" w:type="dxa"/>
              <w:right w:w="16" w:type="dxa"/>
            </w:tcMar>
            <w:vAlign w:val="center"/>
          </w:tcPr>
          <w:p>
            <w:pPr>
              <w:pStyle w:val="86"/>
              <w:rPr>
                <w:rFonts w:hint="default" w:ascii="Times New Roman" w:hAnsi="Times New Roman" w:cs="Times New Roman"/>
              </w:rPr>
            </w:pPr>
            <w:r>
              <w:rPr>
                <w:rFonts w:hint="default" w:ascii="Times New Roman" w:hAnsi="Times New Roman" w:cs="Times New Roman"/>
              </w:rPr>
              <w:t>用地（用海）</w:t>
            </w:r>
          </w:p>
          <w:p>
            <w:pPr>
              <w:pStyle w:val="86"/>
              <w:rPr>
                <w:rFonts w:hint="default" w:ascii="Times New Roman" w:hAnsi="Times New Roman" w:cs="Times New Roman"/>
              </w:rPr>
            </w:pPr>
            <w:r>
              <w:rPr>
                <w:rFonts w:hint="default" w:ascii="Times New Roman" w:hAnsi="Times New Roman" w:cs="Times New Roman"/>
              </w:rPr>
              <w:t>面积（</w:t>
            </w:r>
            <w:bookmarkStart w:id="21" w:name="_Hlk212641554"/>
            <w:r>
              <w:rPr>
                <w:rFonts w:hint="default" w:ascii="Times New Roman" w:hAnsi="Times New Roman" w:cs="Times New Roman"/>
              </w:rPr>
              <w:t>m</w:t>
            </w:r>
            <w:r>
              <w:rPr>
                <w:rFonts w:hint="default" w:ascii="Times New Roman" w:hAnsi="Times New Roman" w:cs="Times New Roman"/>
                <w:vertAlign w:val="superscript"/>
              </w:rPr>
              <w:t>2</w:t>
            </w:r>
            <w:bookmarkEnd w:id="21"/>
            <w:r>
              <w:rPr>
                <w:rFonts w:hint="default" w:ascii="Times New Roman" w:hAnsi="Times New Roman" w:cs="Times New Roman"/>
              </w:rPr>
              <w:t>）</w:t>
            </w:r>
          </w:p>
        </w:tc>
        <w:tc>
          <w:tcPr>
            <w:tcW w:w="2732" w:type="dxa"/>
            <w:vAlign w:val="center"/>
          </w:tcPr>
          <w:p>
            <w:pPr>
              <w:pStyle w:val="86"/>
              <w:rPr>
                <w:rFonts w:hint="default" w:ascii="Times New Roman" w:hAnsi="Times New Roman" w:cs="Times New Roman"/>
              </w:rPr>
            </w:pPr>
            <w:bookmarkStart w:id="22" w:name="_Hlk212641547"/>
            <w:r>
              <w:rPr>
                <w:rFonts w:hint="default" w:ascii="Times New Roman" w:hAnsi="Times New Roman" w:cs="Times New Roman"/>
              </w:rPr>
              <w:t>20002.55</w:t>
            </w:r>
            <w:bookmarkEnd w:id="22"/>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567" w:hRule="atLeast"/>
          <w:jc w:val="center"/>
        </w:trPr>
        <w:tc>
          <w:tcPr>
            <w:tcW w:w="2133" w:type="dxa"/>
            <w:vAlign w:val="center"/>
          </w:tcPr>
          <w:p>
            <w:pPr>
              <w:pStyle w:val="86"/>
              <w:rPr>
                <w:rFonts w:hint="default" w:ascii="Times New Roman" w:hAnsi="Times New Roman" w:cs="Times New Roman"/>
              </w:rPr>
            </w:pPr>
            <w:r>
              <w:rPr>
                <w:rFonts w:hint="default" w:ascii="Times New Roman" w:hAnsi="Times New Roman" w:cs="Times New Roman"/>
              </w:rPr>
              <w:t>专项评价设置情况</w:t>
            </w:r>
          </w:p>
        </w:tc>
        <w:tc>
          <w:tcPr>
            <w:tcW w:w="6737" w:type="dxa"/>
            <w:gridSpan w:val="3"/>
            <w:vAlign w:val="center"/>
          </w:tcPr>
          <w:p>
            <w:pPr>
              <w:pStyle w:val="86"/>
              <w:spacing w:line="360" w:lineRule="auto"/>
              <w:ind w:firstLine="480" w:firstLineChars="200"/>
              <w:jc w:val="left"/>
              <w:rPr>
                <w:rFonts w:hint="default" w:ascii="Times New Roman" w:hAnsi="Times New Roman" w:cs="Times New Roman"/>
              </w:rPr>
            </w:pPr>
            <w:r>
              <w:rPr>
                <w:rFonts w:ascii="Times New Roman" w:hAnsi="Times New Roman" w:cs="Times New Roman"/>
              </w:rPr>
              <w:t>本项目专项评价设置识别如下：</w:t>
            </w:r>
          </w:p>
          <w:p>
            <w:pPr>
              <w:pStyle w:val="86"/>
              <w:rPr>
                <w:rFonts w:hint="default" w:ascii="Times New Roman" w:hAnsi="Times New Roman" w:cs="Times New Roman"/>
                <w:b/>
                <w:bCs/>
              </w:rPr>
            </w:pPr>
            <w:r>
              <w:rPr>
                <w:rFonts w:ascii="Times New Roman" w:hAnsi="Times New Roman" w:cs="Times New Roman"/>
                <w:b/>
                <w:bCs/>
              </w:rPr>
              <w:t>专项评价设置识别一览表</w:t>
            </w:r>
          </w:p>
          <w:tbl>
            <w:tblPr>
              <w:tblStyle w:val="2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34"/>
              <w:gridCol w:w="2408"/>
              <w:gridCol w:w="2258"/>
              <w:gridCol w:w="102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5" w:type="pct"/>
                  <w:shd w:val="clear" w:color="auto" w:fill="auto"/>
                  <w:vAlign w:val="center"/>
                </w:tcPr>
                <w:p>
                  <w:pPr>
                    <w:autoSpaceDE w:val="0"/>
                    <w:autoSpaceDN w:val="0"/>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专题评价的类别</w:t>
                  </w:r>
                </w:p>
              </w:tc>
              <w:tc>
                <w:tcPr>
                  <w:tcW w:w="1818" w:type="pct"/>
                  <w:shd w:val="clear" w:color="auto" w:fill="auto"/>
                  <w:vAlign w:val="center"/>
                </w:tcPr>
                <w:p>
                  <w:pPr>
                    <w:autoSpaceDE w:val="0"/>
                    <w:autoSpaceDN w:val="0"/>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设置原则</w:t>
                  </w:r>
                </w:p>
              </w:tc>
              <w:tc>
                <w:tcPr>
                  <w:tcW w:w="1705" w:type="pct"/>
                  <w:shd w:val="clear" w:color="auto" w:fill="auto"/>
                  <w:vAlign w:val="center"/>
                </w:tcPr>
                <w:p>
                  <w:pPr>
                    <w:autoSpaceDE w:val="0"/>
                    <w:autoSpaceDN w:val="0"/>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本项目情况</w:t>
                  </w:r>
                </w:p>
              </w:tc>
              <w:tc>
                <w:tcPr>
                  <w:tcW w:w="772" w:type="pct"/>
                  <w:shd w:val="clear" w:color="auto" w:fill="auto"/>
                  <w:vAlign w:val="center"/>
                </w:tcPr>
                <w:p>
                  <w:pPr>
                    <w:autoSpaceDE w:val="0"/>
                    <w:autoSpaceDN w:val="0"/>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是否需要设置专题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5" w:type="pct"/>
                  <w:shd w:val="clear" w:color="auto" w:fill="auto"/>
                  <w:vAlign w:val="center"/>
                </w:tcPr>
                <w:p>
                  <w:pPr>
                    <w:autoSpaceDE w:val="0"/>
                    <w:autoSpaceDN w:val="0"/>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大气</w:t>
                  </w:r>
                </w:p>
              </w:tc>
              <w:tc>
                <w:tcPr>
                  <w:tcW w:w="1818" w:type="pct"/>
                  <w:shd w:val="clear" w:color="auto" w:fill="auto"/>
                  <w:vAlign w:val="center"/>
                </w:tcPr>
                <w:p>
                  <w:pPr>
                    <w:autoSpaceDE w:val="0"/>
                    <w:autoSpaceDN w:val="0"/>
                    <w:adjustRightInd w:val="0"/>
                    <w:snapToGrid w:val="0"/>
                    <w:rPr>
                      <w:rFonts w:ascii="Times New Roman" w:hAnsi="Times New Roman" w:eastAsia="宋体" w:cs="Times New Roman"/>
                      <w:kern w:val="0"/>
                      <w:szCs w:val="21"/>
                    </w:rPr>
                  </w:pPr>
                  <w:r>
                    <w:rPr>
                      <w:rFonts w:ascii="Times New Roman" w:hAnsi="Times New Roman" w:eastAsia="宋体" w:cs="Times New Roman"/>
                      <w:kern w:val="0"/>
                      <w:szCs w:val="21"/>
                    </w:rPr>
                    <w:t>排放废气含有毒有害污染物</w:t>
                  </w:r>
                  <w:r>
                    <w:rPr>
                      <w:rFonts w:ascii="Times New Roman" w:hAnsi="Times New Roman" w:eastAsia="宋体" w:cs="Times New Roman"/>
                      <w:kern w:val="0"/>
                      <w:szCs w:val="21"/>
                      <w:vertAlign w:val="superscript"/>
                    </w:rPr>
                    <w:t>1</w:t>
                  </w:r>
                  <w:r>
                    <w:rPr>
                      <w:rFonts w:ascii="Times New Roman" w:hAnsi="Times New Roman" w:eastAsia="宋体" w:cs="Times New Roman"/>
                      <w:kern w:val="0"/>
                      <w:szCs w:val="21"/>
                    </w:rPr>
                    <w:t>、二噁英、苯并[</w:t>
                  </w:r>
                  <w:r>
                    <w:rPr>
                      <w:rFonts w:ascii="Times New Roman" w:hAnsi="Times New Roman" w:eastAsia="宋体" w:cs="Times New Roman"/>
                      <w:i/>
                      <w:iCs/>
                      <w:kern w:val="0"/>
                      <w:szCs w:val="21"/>
                    </w:rPr>
                    <w:t>a</w:t>
                  </w:r>
                  <w:r>
                    <w:rPr>
                      <w:rFonts w:ascii="Times New Roman" w:hAnsi="Times New Roman" w:eastAsia="宋体" w:cs="Times New Roman"/>
                      <w:kern w:val="0"/>
                      <w:szCs w:val="21"/>
                    </w:rPr>
                    <w:t>]芘、氰化物、氯气且厂界外500米范围内有环境空气保护目标</w:t>
                  </w:r>
                  <w:r>
                    <w:rPr>
                      <w:rFonts w:ascii="Times New Roman" w:hAnsi="Times New Roman" w:eastAsia="宋体" w:cs="Times New Roman"/>
                      <w:kern w:val="0"/>
                      <w:szCs w:val="21"/>
                      <w:vertAlign w:val="superscript"/>
                    </w:rPr>
                    <w:t>2</w:t>
                  </w:r>
                  <w:r>
                    <w:rPr>
                      <w:rFonts w:ascii="Times New Roman" w:hAnsi="Times New Roman" w:eastAsia="宋体" w:cs="Times New Roman"/>
                      <w:kern w:val="0"/>
                      <w:szCs w:val="21"/>
                    </w:rPr>
                    <w:t>的建设项目</w:t>
                  </w:r>
                </w:p>
              </w:tc>
              <w:tc>
                <w:tcPr>
                  <w:tcW w:w="1705" w:type="pct"/>
                  <w:shd w:val="clear" w:color="auto" w:fill="auto"/>
                  <w:vAlign w:val="center"/>
                </w:tcPr>
                <w:p>
                  <w:pPr>
                    <w:autoSpaceDE w:val="0"/>
                    <w:autoSpaceDN w:val="0"/>
                    <w:adjustRightInd w:val="0"/>
                    <w:snapToGrid w:val="0"/>
                    <w:rPr>
                      <w:rFonts w:ascii="Times New Roman" w:hAnsi="Times New Roman" w:eastAsia="宋体" w:cs="Times New Roman"/>
                      <w:kern w:val="0"/>
                      <w:szCs w:val="21"/>
                    </w:rPr>
                  </w:pPr>
                  <w:r>
                    <w:rPr>
                      <w:rFonts w:ascii="Times New Roman" w:hAnsi="Times New Roman" w:eastAsia="宋体" w:cs="Times New Roman"/>
                      <w:kern w:val="0"/>
                      <w:szCs w:val="21"/>
                    </w:rPr>
                    <w:t>本项目运营期产生的大气污染物主要为颗粒物，不产生有毒有害污染物</w:t>
                  </w:r>
                  <w:r>
                    <w:rPr>
                      <w:rFonts w:ascii="Times New Roman" w:hAnsi="Times New Roman" w:eastAsia="宋体" w:cs="Times New Roman"/>
                      <w:kern w:val="0"/>
                      <w:szCs w:val="21"/>
                      <w:vertAlign w:val="superscript"/>
                    </w:rPr>
                    <w:t>1</w:t>
                  </w:r>
                  <w:r>
                    <w:rPr>
                      <w:rFonts w:ascii="Times New Roman" w:hAnsi="Times New Roman" w:eastAsia="宋体" w:cs="Times New Roman"/>
                      <w:kern w:val="0"/>
                      <w:szCs w:val="21"/>
                    </w:rPr>
                    <w:t>、二噁英、苯并[</w:t>
                  </w:r>
                  <w:r>
                    <w:rPr>
                      <w:rFonts w:ascii="Times New Roman" w:hAnsi="Times New Roman" w:eastAsia="宋体" w:cs="Times New Roman"/>
                      <w:i/>
                      <w:iCs/>
                      <w:kern w:val="0"/>
                      <w:szCs w:val="21"/>
                    </w:rPr>
                    <w:t>a</w:t>
                  </w:r>
                  <w:r>
                    <w:rPr>
                      <w:rFonts w:ascii="Times New Roman" w:hAnsi="Times New Roman" w:eastAsia="宋体" w:cs="Times New Roman"/>
                      <w:kern w:val="0"/>
                      <w:szCs w:val="21"/>
                    </w:rPr>
                    <w:t>]芘、氰化物、氯气等</w:t>
                  </w:r>
                </w:p>
              </w:tc>
              <w:tc>
                <w:tcPr>
                  <w:tcW w:w="772" w:type="pct"/>
                  <w:shd w:val="clear" w:color="auto" w:fill="auto"/>
                  <w:vAlign w:val="center"/>
                </w:tcPr>
                <w:p>
                  <w:pPr>
                    <w:autoSpaceDE w:val="0"/>
                    <w:autoSpaceDN w:val="0"/>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5" w:type="pct"/>
                  <w:shd w:val="clear" w:color="auto" w:fill="auto"/>
                  <w:vAlign w:val="center"/>
                </w:tcPr>
                <w:p>
                  <w:pPr>
                    <w:autoSpaceDE w:val="0"/>
                    <w:autoSpaceDN w:val="0"/>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地表水</w:t>
                  </w:r>
                </w:p>
              </w:tc>
              <w:tc>
                <w:tcPr>
                  <w:tcW w:w="1818" w:type="pct"/>
                  <w:shd w:val="clear" w:color="auto" w:fill="auto"/>
                  <w:vAlign w:val="center"/>
                </w:tcPr>
                <w:p>
                  <w:pPr>
                    <w:autoSpaceDE w:val="0"/>
                    <w:autoSpaceDN w:val="0"/>
                    <w:adjustRightInd w:val="0"/>
                    <w:snapToGrid w:val="0"/>
                    <w:rPr>
                      <w:rFonts w:ascii="Times New Roman" w:hAnsi="Times New Roman" w:eastAsia="宋体" w:cs="Times New Roman"/>
                      <w:kern w:val="0"/>
                      <w:szCs w:val="21"/>
                    </w:rPr>
                  </w:pPr>
                  <w:r>
                    <w:rPr>
                      <w:rFonts w:ascii="Times New Roman" w:hAnsi="Times New Roman" w:eastAsia="宋体" w:cs="Times New Roman"/>
                      <w:kern w:val="0"/>
                      <w:szCs w:val="21"/>
                    </w:rPr>
                    <w:t>新增工业废水直排建设项目（槽罐车外送污水处理厂的除外）；新增废水直排的污水集中处理厂</w:t>
                  </w:r>
                </w:p>
              </w:tc>
              <w:tc>
                <w:tcPr>
                  <w:tcW w:w="1705" w:type="pct"/>
                  <w:shd w:val="clear" w:color="auto" w:fill="auto"/>
                  <w:vAlign w:val="center"/>
                </w:tcPr>
                <w:p>
                  <w:pPr>
                    <w:autoSpaceDE w:val="0"/>
                    <w:autoSpaceDN w:val="0"/>
                    <w:adjustRightInd w:val="0"/>
                    <w:snapToGrid w:val="0"/>
                    <w:rPr>
                      <w:rFonts w:ascii="Times New Roman" w:hAnsi="Times New Roman" w:eastAsia="宋体" w:cs="Times New Roman"/>
                      <w:kern w:val="0"/>
                      <w:szCs w:val="21"/>
                    </w:rPr>
                  </w:pPr>
                  <w:r>
                    <w:rPr>
                      <w:rFonts w:ascii="Times New Roman" w:hAnsi="Times New Roman" w:eastAsia="宋体" w:cs="Times New Roman"/>
                      <w:kern w:val="0"/>
                      <w:szCs w:val="21"/>
                    </w:rPr>
                    <w:t>本项目生活污水经化粪池处理后，排入园区污水排放管网</w:t>
                  </w:r>
                </w:p>
              </w:tc>
              <w:tc>
                <w:tcPr>
                  <w:tcW w:w="772" w:type="pct"/>
                  <w:shd w:val="clear" w:color="auto" w:fill="auto"/>
                  <w:vAlign w:val="center"/>
                </w:tcPr>
                <w:p>
                  <w:pPr>
                    <w:autoSpaceDE w:val="0"/>
                    <w:autoSpaceDN w:val="0"/>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705" w:type="pct"/>
                  <w:shd w:val="clear" w:color="auto" w:fill="auto"/>
                  <w:vAlign w:val="center"/>
                </w:tcPr>
                <w:p>
                  <w:pPr>
                    <w:autoSpaceDE w:val="0"/>
                    <w:autoSpaceDN w:val="0"/>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地下水</w:t>
                  </w:r>
                </w:p>
              </w:tc>
              <w:tc>
                <w:tcPr>
                  <w:tcW w:w="1818" w:type="pct"/>
                  <w:shd w:val="clear" w:color="auto" w:fill="auto"/>
                  <w:vAlign w:val="center"/>
                </w:tcPr>
                <w:p>
                  <w:pPr>
                    <w:autoSpaceDE w:val="0"/>
                    <w:autoSpaceDN w:val="0"/>
                    <w:adjustRightInd w:val="0"/>
                    <w:snapToGrid w:val="0"/>
                    <w:rPr>
                      <w:rFonts w:ascii="Times New Roman" w:hAnsi="Times New Roman" w:eastAsia="宋体" w:cs="Times New Roman"/>
                      <w:kern w:val="0"/>
                      <w:szCs w:val="21"/>
                    </w:rPr>
                  </w:pPr>
                  <w:r>
                    <w:rPr>
                      <w:rFonts w:ascii="Times New Roman" w:hAnsi="Times New Roman" w:eastAsia="宋体" w:cs="Times New Roman"/>
                      <w:kern w:val="0"/>
                      <w:szCs w:val="21"/>
                    </w:rPr>
                    <w:t>地下水原则上不开展专项评价，涉及集中式饮用水水源和热水、矿泉水、温泉等特殊地下水资源保护区的开展地下水专项评价工作</w:t>
                  </w:r>
                </w:p>
              </w:tc>
              <w:tc>
                <w:tcPr>
                  <w:tcW w:w="1705" w:type="pct"/>
                  <w:shd w:val="clear" w:color="auto" w:fill="auto"/>
                  <w:vAlign w:val="center"/>
                </w:tcPr>
                <w:p>
                  <w:pPr>
                    <w:autoSpaceDE w:val="0"/>
                    <w:autoSpaceDN w:val="0"/>
                    <w:adjustRightInd w:val="0"/>
                    <w:snapToGrid w:val="0"/>
                    <w:rPr>
                      <w:rFonts w:ascii="Times New Roman" w:hAnsi="Times New Roman" w:eastAsia="宋体" w:cs="Times New Roman"/>
                      <w:kern w:val="0"/>
                      <w:szCs w:val="21"/>
                    </w:rPr>
                  </w:pPr>
                  <w:r>
                    <w:rPr>
                      <w:rFonts w:ascii="Times New Roman" w:hAnsi="Times New Roman" w:eastAsia="宋体" w:cs="Times New Roman"/>
                      <w:kern w:val="0"/>
                      <w:szCs w:val="21"/>
                    </w:rPr>
                    <w:t>本项目周边</w:t>
                  </w:r>
                  <w:r>
                    <w:rPr>
                      <w:rFonts w:ascii="Times New Roman" w:hAnsi="Times New Roman" w:eastAsia="宋体" w:cs="Times New Roman"/>
                      <w:color w:val="FF0000"/>
                      <w:kern w:val="0"/>
                      <w:szCs w:val="21"/>
                    </w:rPr>
                    <w:t>不涉及</w:t>
                  </w:r>
                  <w:r>
                    <w:rPr>
                      <w:rFonts w:ascii="Times New Roman" w:hAnsi="Times New Roman" w:eastAsia="宋体" w:cs="Times New Roman"/>
                      <w:kern w:val="0"/>
                      <w:szCs w:val="21"/>
                    </w:rPr>
                    <w:t>集中式饮用水水源和热水、矿泉水、温泉等特殊地下水资源保护区，不需要设置地下水专项评价</w:t>
                  </w:r>
                </w:p>
              </w:tc>
              <w:tc>
                <w:tcPr>
                  <w:tcW w:w="772" w:type="pct"/>
                  <w:shd w:val="clear" w:color="auto" w:fill="auto"/>
                  <w:vAlign w:val="center"/>
                </w:tcPr>
                <w:p>
                  <w:pPr>
                    <w:autoSpaceDE w:val="0"/>
                    <w:autoSpaceDN w:val="0"/>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5" w:type="pct"/>
                  <w:shd w:val="clear" w:color="auto" w:fill="auto"/>
                  <w:vAlign w:val="center"/>
                </w:tcPr>
                <w:p>
                  <w:pPr>
                    <w:autoSpaceDE w:val="0"/>
                    <w:autoSpaceDN w:val="0"/>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环境风险</w:t>
                  </w:r>
                </w:p>
              </w:tc>
              <w:tc>
                <w:tcPr>
                  <w:tcW w:w="1818" w:type="pct"/>
                  <w:shd w:val="clear" w:color="auto" w:fill="auto"/>
                  <w:vAlign w:val="center"/>
                </w:tcPr>
                <w:p>
                  <w:pPr>
                    <w:autoSpaceDE w:val="0"/>
                    <w:autoSpaceDN w:val="0"/>
                    <w:adjustRightInd w:val="0"/>
                    <w:snapToGrid w:val="0"/>
                    <w:rPr>
                      <w:rFonts w:ascii="Times New Roman" w:hAnsi="Times New Roman" w:eastAsia="宋体" w:cs="Times New Roman"/>
                      <w:kern w:val="0"/>
                      <w:szCs w:val="21"/>
                    </w:rPr>
                  </w:pPr>
                  <w:r>
                    <w:rPr>
                      <w:rFonts w:ascii="Times New Roman" w:hAnsi="Times New Roman" w:eastAsia="宋体" w:cs="Times New Roman"/>
                      <w:kern w:val="0"/>
                      <w:szCs w:val="21"/>
                    </w:rPr>
                    <w:t>有毒有害和易燃易爆危险物质存储量超过临界量</w:t>
                  </w:r>
                  <w:r>
                    <w:rPr>
                      <w:rFonts w:ascii="Times New Roman" w:hAnsi="Times New Roman" w:eastAsia="宋体" w:cs="Times New Roman"/>
                      <w:kern w:val="0"/>
                      <w:szCs w:val="21"/>
                      <w:vertAlign w:val="superscript"/>
                    </w:rPr>
                    <w:t>3</w:t>
                  </w:r>
                  <w:r>
                    <w:rPr>
                      <w:rFonts w:ascii="Times New Roman" w:hAnsi="Times New Roman" w:eastAsia="宋体" w:cs="Times New Roman"/>
                      <w:kern w:val="0"/>
                      <w:szCs w:val="21"/>
                    </w:rPr>
                    <w:t>的建设项目</w:t>
                  </w:r>
                </w:p>
              </w:tc>
              <w:tc>
                <w:tcPr>
                  <w:tcW w:w="1705" w:type="pct"/>
                  <w:shd w:val="clear" w:color="auto" w:fill="auto"/>
                  <w:vAlign w:val="center"/>
                </w:tcPr>
                <w:p>
                  <w:pPr>
                    <w:autoSpaceDE w:val="0"/>
                    <w:autoSpaceDN w:val="0"/>
                    <w:adjustRightInd w:val="0"/>
                    <w:snapToGrid w:val="0"/>
                    <w:rPr>
                      <w:rFonts w:ascii="Times New Roman" w:hAnsi="Times New Roman" w:eastAsia="宋体" w:cs="Times New Roman"/>
                      <w:kern w:val="0"/>
                      <w:szCs w:val="21"/>
                    </w:rPr>
                  </w:pPr>
                  <w:r>
                    <w:rPr>
                      <w:rFonts w:ascii="Times New Roman" w:hAnsi="Times New Roman" w:eastAsia="宋体" w:cs="Times New Roman"/>
                      <w:kern w:val="0"/>
                      <w:szCs w:val="21"/>
                    </w:rPr>
                    <w:t>本项目涉及的危险物质未超过存储量临界值</w:t>
                  </w:r>
                </w:p>
              </w:tc>
              <w:tc>
                <w:tcPr>
                  <w:tcW w:w="772" w:type="pct"/>
                  <w:shd w:val="clear" w:color="auto" w:fill="auto"/>
                  <w:vAlign w:val="center"/>
                </w:tcPr>
                <w:p>
                  <w:pPr>
                    <w:autoSpaceDE w:val="0"/>
                    <w:autoSpaceDN w:val="0"/>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5" w:type="pct"/>
                  <w:shd w:val="clear" w:color="auto" w:fill="auto"/>
                  <w:vAlign w:val="center"/>
                </w:tcPr>
                <w:p>
                  <w:pPr>
                    <w:autoSpaceDE w:val="0"/>
                    <w:autoSpaceDN w:val="0"/>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生态</w:t>
                  </w:r>
                </w:p>
              </w:tc>
              <w:tc>
                <w:tcPr>
                  <w:tcW w:w="1818" w:type="pct"/>
                  <w:shd w:val="clear" w:color="auto" w:fill="auto"/>
                  <w:vAlign w:val="center"/>
                </w:tcPr>
                <w:p>
                  <w:pPr>
                    <w:autoSpaceDE w:val="0"/>
                    <w:autoSpaceDN w:val="0"/>
                    <w:adjustRightInd w:val="0"/>
                    <w:snapToGrid w:val="0"/>
                    <w:rPr>
                      <w:rFonts w:ascii="Times New Roman" w:hAnsi="Times New Roman" w:eastAsia="宋体" w:cs="Times New Roman"/>
                      <w:kern w:val="0"/>
                      <w:szCs w:val="21"/>
                    </w:rPr>
                  </w:pPr>
                  <w:r>
                    <w:rPr>
                      <w:rFonts w:ascii="Times New Roman" w:hAnsi="Times New Roman" w:eastAsia="宋体" w:cs="Times New Roman"/>
                      <w:kern w:val="0"/>
                      <w:szCs w:val="21"/>
                    </w:rPr>
                    <w:t>取水口下游500米范围内有重要水生生物的自然产卵场、索饵场、越冬场和洄游通道的新增河道取水的污染类建设项目</w:t>
                  </w:r>
                </w:p>
              </w:tc>
              <w:tc>
                <w:tcPr>
                  <w:tcW w:w="1705" w:type="pct"/>
                  <w:shd w:val="clear" w:color="auto" w:fill="auto"/>
                  <w:vAlign w:val="center"/>
                </w:tcPr>
                <w:p>
                  <w:pPr>
                    <w:autoSpaceDE w:val="0"/>
                    <w:autoSpaceDN w:val="0"/>
                    <w:adjustRightInd w:val="0"/>
                    <w:snapToGrid w:val="0"/>
                    <w:rPr>
                      <w:rFonts w:ascii="Times New Roman" w:hAnsi="Times New Roman" w:eastAsia="宋体" w:cs="Times New Roman"/>
                      <w:kern w:val="0"/>
                      <w:szCs w:val="21"/>
                    </w:rPr>
                  </w:pPr>
                  <w:r>
                    <w:rPr>
                      <w:rFonts w:ascii="Times New Roman" w:hAnsi="Times New Roman" w:eastAsia="宋体" w:cs="Times New Roman"/>
                      <w:kern w:val="0"/>
                      <w:szCs w:val="21"/>
                    </w:rPr>
                    <w:t>本项目不涉及取水口下游500米范围内有重要水生生物的自然产卵场、索饵场、越冬场和洄游通道</w:t>
                  </w:r>
                </w:p>
              </w:tc>
              <w:tc>
                <w:tcPr>
                  <w:tcW w:w="772" w:type="pct"/>
                  <w:shd w:val="clear" w:color="auto" w:fill="auto"/>
                  <w:vAlign w:val="center"/>
                </w:tcPr>
                <w:p>
                  <w:pPr>
                    <w:autoSpaceDE w:val="0"/>
                    <w:autoSpaceDN w:val="0"/>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5" w:type="pct"/>
                  <w:shd w:val="clear" w:color="auto" w:fill="auto"/>
                  <w:vAlign w:val="center"/>
                </w:tcPr>
                <w:p>
                  <w:pPr>
                    <w:autoSpaceDE w:val="0"/>
                    <w:autoSpaceDN w:val="0"/>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海洋</w:t>
                  </w:r>
                </w:p>
              </w:tc>
              <w:tc>
                <w:tcPr>
                  <w:tcW w:w="1818" w:type="pct"/>
                  <w:shd w:val="clear" w:color="auto" w:fill="auto"/>
                  <w:vAlign w:val="center"/>
                </w:tcPr>
                <w:p>
                  <w:pPr>
                    <w:autoSpaceDE w:val="0"/>
                    <w:autoSpaceDN w:val="0"/>
                    <w:adjustRightInd w:val="0"/>
                    <w:snapToGrid w:val="0"/>
                    <w:rPr>
                      <w:rFonts w:ascii="Times New Roman" w:hAnsi="Times New Roman" w:eastAsia="宋体" w:cs="Times New Roman"/>
                      <w:kern w:val="0"/>
                      <w:szCs w:val="21"/>
                    </w:rPr>
                  </w:pPr>
                  <w:r>
                    <w:rPr>
                      <w:rFonts w:ascii="Times New Roman" w:hAnsi="Times New Roman" w:eastAsia="宋体" w:cs="Times New Roman"/>
                      <w:kern w:val="0"/>
                      <w:szCs w:val="21"/>
                    </w:rPr>
                    <w:t>直接向海排放污染物的海洋工程建设项目</w:t>
                  </w:r>
                </w:p>
              </w:tc>
              <w:tc>
                <w:tcPr>
                  <w:tcW w:w="1705" w:type="pct"/>
                  <w:shd w:val="clear" w:color="auto" w:fill="auto"/>
                  <w:vAlign w:val="center"/>
                </w:tcPr>
                <w:p>
                  <w:pPr>
                    <w:autoSpaceDE w:val="0"/>
                    <w:autoSpaceDN w:val="0"/>
                    <w:adjustRightInd w:val="0"/>
                    <w:snapToGrid w:val="0"/>
                    <w:rPr>
                      <w:rFonts w:ascii="Times New Roman" w:hAnsi="Times New Roman" w:eastAsia="宋体" w:cs="Times New Roman"/>
                      <w:kern w:val="0"/>
                      <w:szCs w:val="21"/>
                    </w:rPr>
                  </w:pPr>
                  <w:r>
                    <w:rPr>
                      <w:rFonts w:ascii="Times New Roman" w:hAnsi="Times New Roman" w:eastAsia="宋体" w:cs="Times New Roman"/>
                      <w:kern w:val="0"/>
                      <w:szCs w:val="21"/>
                    </w:rPr>
                    <w:t>本项目不涉及</w:t>
                  </w:r>
                </w:p>
              </w:tc>
              <w:tc>
                <w:tcPr>
                  <w:tcW w:w="772" w:type="pct"/>
                  <w:shd w:val="clear" w:color="auto" w:fill="auto"/>
                  <w:vAlign w:val="center"/>
                </w:tcPr>
                <w:p>
                  <w:pPr>
                    <w:autoSpaceDE w:val="0"/>
                    <w:autoSpaceDN w:val="0"/>
                    <w:adjustRightInd w:val="0"/>
                    <w:snapToGrid w:val="0"/>
                    <w:jc w:val="center"/>
                    <w:rPr>
                      <w:rFonts w:ascii="Times New Roman" w:hAnsi="Times New Roman" w:eastAsia="宋体" w:cs="Times New Roman"/>
                      <w:kern w:val="0"/>
                      <w:szCs w:val="21"/>
                    </w:rPr>
                  </w:pPr>
                  <w:r>
                    <w:rPr>
                      <w:rFonts w:ascii="Times New Roman" w:hAnsi="Times New Roman" w:eastAsia="宋体" w:cs="Times New Roman"/>
                      <w:kern w:val="0"/>
                      <w:szCs w:val="21"/>
                    </w:rPr>
                    <w:t>否</w:t>
                  </w:r>
                </w:p>
              </w:tc>
            </w:tr>
          </w:tbl>
          <w:p>
            <w:pPr>
              <w:pStyle w:val="86"/>
              <w:spacing w:line="360" w:lineRule="auto"/>
              <w:ind w:firstLine="480" w:firstLineChars="200"/>
              <w:jc w:val="both"/>
              <w:rPr>
                <w:rFonts w:hint="default" w:ascii="Times New Roman" w:hAnsi="Times New Roman" w:cs="Times New Roman"/>
              </w:rPr>
            </w:pPr>
            <w:r>
              <w:rPr>
                <w:rFonts w:ascii="Times New Roman" w:hAnsi="Times New Roman" w:cs="Times New Roman"/>
              </w:rPr>
              <w:t>根据《建设项目环境影响报告表编制技术指南》（污染影响类）中专项评价设置原则及本项目生产运营情况可知，本项目不设置专项评价。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567" w:hRule="atLeast"/>
          <w:jc w:val="center"/>
        </w:trPr>
        <w:tc>
          <w:tcPr>
            <w:tcW w:w="2133" w:type="dxa"/>
            <w:vAlign w:val="center"/>
          </w:tcPr>
          <w:p>
            <w:pPr>
              <w:pStyle w:val="86"/>
              <w:rPr>
                <w:rFonts w:hint="default" w:ascii="Times New Roman" w:hAnsi="Times New Roman" w:cs="Times New Roman"/>
              </w:rPr>
            </w:pPr>
            <w:r>
              <w:rPr>
                <w:rFonts w:hint="default" w:ascii="Times New Roman" w:hAnsi="Times New Roman" w:cs="Times New Roman"/>
              </w:rPr>
              <w:t>规划情况</w:t>
            </w:r>
          </w:p>
        </w:tc>
        <w:tc>
          <w:tcPr>
            <w:tcW w:w="6737" w:type="dxa"/>
            <w:gridSpan w:val="3"/>
            <w:vAlign w:val="center"/>
          </w:tcPr>
          <w:p>
            <w:pPr>
              <w:pStyle w:val="82"/>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2019年，内蒙古鄂尔多斯达拉特经济开发区管理委员会委托北京千知绘城市规划设计有限公司编制《内蒙古鄂尔多斯达拉特经济开发区总体规划(2021-2035)》</w:t>
            </w:r>
            <w:r>
              <w:rPr>
                <w:rFonts w:ascii="Times New Roman" w:hAnsi="Times New Roman" w:cs="Times New Roman"/>
                <w:color w:val="000000" w:themeColor="text1"/>
                <w14:textFill>
                  <w14:solidFill>
                    <w14:schemeClr w14:val="tx1"/>
                  </w14:solidFill>
                </w14:textFill>
              </w:rPr>
              <w:t>，2021年3月1日取得《内蒙古达拉特经济开发区总体规划（2021-2035）》专家评审意见，规划目前尚未取得批复</w:t>
            </w:r>
            <w:r>
              <w:rPr>
                <w:rFonts w:hint="default" w:ascii="Times New Roman" w:hAnsi="Times New Roman" w:cs="Times New Roman"/>
                <w:color w:val="000000" w:themeColor="text1"/>
                <w14:textFill>
                  <w14:solidFill>
                    <w14:schemeClr w14:val="tx1"/>
                  </w14:solidFill>
                </w14:textFill>
              </w:rPr>
              <w:t>。</w:t>
            </w:r>
          </w:p>
          <w:p>
            <w:pPr>
              <w:pStyle w:val="82"/>
              <w:rPr>
                <w:rFonts w:hint="default" w:ascii="Times New Roman" w:hAnsi="Times New Roman" w:cs="Times New Roman"/>
              </w:rPr>
            </w:pPr>
            <w:r>
              <w:rPr>
                <w:rFonts w:ascii="Times New Roman" w:hAnsi="Times New Roman" w:cs="Times New Roman"/>
              </w:rPr>
              <w:t>《内蒙古鄂尔多斯达拉特经济开发区产业规划（2022-2035年）》</w:t>
            </w:r>
          </w:p>
          <w:p>
            <w:pPr>
              <w:pStyle w:val="82"/>
              <w:rPr>
                <w:rFonts w:hint="default" w:ascii="Times New Roman" w:hAnsi="Times New Roman" w:cs="Times New Roman"/>
              </w:rPr>
            </w:pPr>
            <w:r>
              <w:rPr>
                <w:rFonts w:ascii="Times New Roman" w:hAnsi="Times New Roman" w:cs="Times New Roman"/>
              </w:rPr>
              <w:t>审批机关：内蒙古自治区工业和信息化厅</w:t>
            </w:r>
          </w:p>
          <w:p>
            <w:pPr>
              <w:pStyle w:val="82"/>
              <w:rPr>
                <w:rFonts w:hint="default" w:ascii="Times New Roman" w:hAnsi="Times New Roman" w:cs="Times New Roman"/>
              </w:rPr>
            </w:pPr>
            <w:r>
              <w:rPr>
                <w:rFonts w:ascii="Times New Roman" w:hAnsi="Times New Roman" w:cs="Times New Roman"/>
              </w:rPr>
              <w:t>审批文号：内工信园区字〔2023〕91号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2133" w:type="dxa"/>
            <w:vAlign w:val="center"/>
          </w:tcPr>
          <w:p>
            <w:pPr>
              <w:pStyle w:val="86"/>
              <w:rPr>
                <w:rFonts w:hint="default" w:ascii="Times New Roman" w:hAnsi="Times New Roman" w:cs="Times New Roman"/>
              </w:rPr>
            </w:pPr>
            <w:r>
              <w:rPr>
                <w:rFonts w:hint="default" w:ascii="Times New Roman" w:hAnsi="Times New Roman" w:cs="Times New Roman"/>
              </w:rPr>
              <w:t>规划环境影响</w:t>
            </w:r>
          </w:p>
          <w:p>
            <w:pPr>
              <w:pStyle w:val="86"/>
              <w:rPr>
                <w:rFonts w:hint="default" w:ascii="Times New Roman" w:hAnsi="Times New Roman" w:cs="Times New Roman"/>
              </w:rPr>
            </w:pPr>
            <w:r>
              <w:rPr>
                <w:rFonts w:hint="default" w:ascii="Times New Roman" w:hAnsi="Times New Roman" w:cs="Times New Roman"/>
              </w:rPr>
              <w:t>评价情况</w:t>
            </w:r>
          </w:p>
        </w:tc>
        <w:tc>
          <w:tcPr>
            <w:tcW w:w="6737" w:type="dxa"/>
            <w:gridSpan w:val="3"/>
            <w:vAlign w:val="center"/>
          </w:tcPr>
          <w:p>
            <w:pPr>
              <w:pStyle w:val="82"/>
              <w:rPr>
                <w:rFonts w:hint="default" w:ascii="Times New Roman" w:hAnsi="Times New Roman" w:cs="Times New Roman"/>
              </w:rPr>
            </w:pPr>
            <w:r>
              <w:rPr>
                <w:rFonts w:hint="default" w:ascii="Times New Roman" w:hAnsi="Times New Roman" w:cs="Times New Roman"/>
              </w:rPr>
              <w:t>规划环境影响评价文件名称：《内蒙古鄂尔多斯达拉特经济开发区总体规划(2021-2035)环境影响报告书》</w:t>
            </w:r>
          </w:p>
          <w:p>
            <w:pPr>
              <w:pStyle w:val="82"/>
              <w:rPr>
                <w:rFonts w:hint="default" w:ascii="Times New Roman" w:hAnsi="Times New Roman" w:cs="Times New Roman"/>
              </w:rPr>
            </w:pPr>
            <w:r>
              <w:rPr>
                <w:rFonts w:hint="default" w:ascii="Times New Roman" w:hAnsi="Times New Roman" w:cs="Times New Roman"/>
              </w:rPr>
              <w:t>召集审查机关：内蒙古自治区生态环境厅</w:t>
            </w:r>
          </w:p>
          <w:p>
            <w:pPr>
              <w:pStyle w:val="82"/>
              <w:rPr>
                <w:rFonts w:hint="default" w:ascii="Times New Roman" w:hAnsi="Times New Roman" w:cs="Times New Roman"/>
              </w:rPr>
            </w:pPr>
            <w:r>
              <w:rPr>
                <w:rFonts w:hint="default" w:ascii="Times New Roman" w:hAnsi="Times New Roman" w:cs="Times New Roman"/>
              </w:rPr>
              <w:t>审查文件名称及文号：内蒙古自治区生态环境厅关于《</w:t>
            </w:r>
            <w:bookmarkStart w:id="23" w:name="OLE_LINK17"/>
            <w:bookmarkStart w:id="24" w:name="OLE_LINK20"/>
            <w:r>
              <w:rPr>
                <w:rFonts w:hint="default" w:ascii="Times New Roman" w:hAnsi="Times New Roman" w:cs="Times New Roman"/>
              </w:rPr>
              <w:t>内蒙古鄂尔多斯达拉特经济开发区总体规划</w:t>
            </w:r>
            <w:bookmarkEnd w:id="23"/>
            <w:bookmarkEnd w:id="24"/>
            <w:r>
              <w:rPr>
                <w:rFonts w:hint="default" w:ascii="Times New Roman" w:hAnsi="Times New Roman" w:cs="Times New Roman"/>
              </w:rPr>
              <w:t>(2021-2035)环境影响报告书》的审查意见》（内环字[2023]6号）</w:t>
            </w:r>
            <w:r>
              <w:rPr>
                <w:rFonts w:ascii="Times New Roman" w:hAnsi="Times New Roman" w:cs="Times New Roma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6936" w:hRule="atLeast"/>
          <w:jc w:val="center"/>
        </w:trPr>
        <w:tc>
          <w:tcPr>
            <w:tcW w:w="2133" w:type="dxa"/>
            <w:vAlign w:val="center"/>
          </w:tcPr>
          <w:p>
            <w:pPr>
              <w:pStyle w:val="86"/>
              <w:rPr>
                <w:rFonts w:hint="default" w:ascii="Times New Roman" w:hAnsi="Times New Roman" w:cs="Times New Roman"/>
              </w:rPr>
            </w:pPr>
            <w:r>
              <w:rPr>
                <w:rFonts w:hint="default" w:ascii="Times New Roman" w:hAnsi="Times New Roman" w:cs="Times New Roman"/>
              </w:rPr>
              <w:t>规划及规划环境影响评价符合性分析</w:t>
            </w:r>
          </w:p>
        </w:tc>
        <w:tc>
          <w:tcPr>
            <w:tcW w:w="6737" w:type="dxa"/>
            <w:gridSpan w:val="3"/>
            <w:vAlign w:val="center"/>
          </w:tcPr>
          <w:p>
            <w:pPr>
              <w:pStyle w:val="92"/>
              <w:spacing w:before="120"/>
              <w:jc w:val="both"/>
              <w:rPr>
                <w:rFonts w:hint="default" w:ascii="Times New Roman" w:hAnsi="Times New Roman" w:cs="Times New Roman"/>
                <w:color w:val="auto"/>
              </w:rPr>
            </w:pPr>
            <w:bookmarkStart w:id="25" w:name="OLE_LINK111"/>
            <w:r>
              <w:rPr>
                <w:rFonts w:hint="default" w:ascii="Times New Roman" w:hAnsi="Times New Roman" w:cs="Times New Roman"/>
                <w:color w:val="auto"/>
              </w:rPr>
              <w:t>与《</w:t>
            </w:r>
            <w:r>
              <w:rPr>
                <w:rFonts w:ascii="Times New Roman" w:hAnsi="Times New Roman" w:cs="Times New Roman"/>
                <w:color w:val="auto"/>
              </w:rPr>
              <w:t>内蒙古鄂尔多斯达拉特经济开发区总体规划（2021-2035）</w:t>
            </w:r>
            <w:r>
              <w:rPr>
                <w:rFonts w:hint="default" w:ascii="Times New Roman" w:hAnsi="Times New Roman" w:cs="Times New Roman"/>
                <w:color w:val="auto"/>
              </w:rPr>
              <w:t>》的符合性分析</w:t>
            </w:r>
          </w:p>
          <w:bookmarkEnd w:id="25"/>
          <w:p>
            <w:pPr>
              <w:pStyle w:val="82"/>
              <w:rPr>
                <w:rFonts w:hint="default" w:ascii="Times New Roman" w:hAnsi="Times New Roman" w:cs="Times New Roman"/>
              </w:rPr>
            </w:pPr>
            <w:r>
              <w:rPr>
                <w:rFonts w:ascii="Times New Roman" w:hAnsi="Times New Roman" w:cs="Times New Roman"/>
              </w:rPr>
              <w:t>（1）规划范围。</w:t>
            </w:r>
          </w:p>
          <w:p>
            <w:pPr>
              <w:pStyle w:val="82"/>
              <w:rPr>
                <w:rFonts w:hint="default" w:ascii="Times New Roman" w:hAnsi="Times New Roman" w:cs="Times New Roman"/>
              </w:rPr>
            </w:pPr>
            <w:r>
              <w:rPr>
                <w:rFonts w:ascii="Times New Roman" w:hAnsi="Times New Roman" w:cs="Times New Roman"/>
              </w:rPr>
              <w:t>内蒙古鄂尔多斯达拉特经济开发区位于达拉特中心城区南部，开发边界总面积67.52km</w:t>
            </w:r>
            <w:r>
              <w:rPr>
                <w:rFonts w:ascii="Times New Roman" w:hAnsi="Times New Roman" w:cs="Times New Roman"/>
                <w:vertAlign w:val="superscript"/>
              </w:rPr>
              <w:t>2</w:t>
            </w:r>
            <w:r>
              <w:rPr>
                <w:rFonts w:ascii="Times New Roman" w:hAnsi="Times New Roman" w:cs="Times New Roman"/>
              </w:rPr>
              <w:t>，开发边界四至范围总面积74.35km</w:t>
            </w:r>
            <w:r>
              <w:rPr>
                <w:rFonts w:ascii="Times New Roman" w:hAnsi="Times New Roman" w:cs="Times New Roman"/>
                <w:vertAlign w:val="superscript"/>
              </w:rPr>
              <w:t>2</w:t>
            </w:r>
            <w:r>
              <w:rPr>
                <w:rFonts w:ascii="Times New Roman" w:hAnsi="Times New Roman" w:cs="Times New Roman"/>
              </w:rPr>
              <w:t>。包括达拉特产业园、达拉特物流园，整体形成“一区两园”格局。其中：</w:t>
            </w:r>
          </w:p>
          <w:p>
            <w:pPr>
              <w:pStyle w:val="82"/>
              <w:rPr>
                <w:rFonts w:hint="default" w:ascii="Times New Roman" w:hAnsi="Times New Roman" w:cs="Times New Roman"/>
              </w:rPr>
            </w:pPr>
            <w:r>
              <w:rPr>
                <w:rFonts w:ascii="Times New Roman" w:hAnsi="Times New Roman" w:cs="Times New Roman"/>
              </w:rPr>
              <w:t>达拉特产业园：开发边界面积61.11km</w:t>
            </w:r>
            <w:r>
              <w:rPr>
                <w:rFonts w:ascii="Times New Roman" w:hAnsi="Times New Roman" w:cs="Times New Roman"/>
                <w:vertAlign w:val="superscript"/>
              </w:rPr>
              <w:t>2</w:t>
            </w:r>
            <w:r>
              <w:rPr>
                <w:rFonts w:ascii="Times New Roman" w:hAnsi="Times New Roman" w:cs="Times New Roman"/>
              </w:rPr>
              <w:t>，开发边界四至范围总面积67.89km</w:t>
            </w:r>
            <w:r>
              <w:rPr>
                <w:rFonts w:ascii="Times New Roman" w:hAnsi="Times New Roman" w:cs="Times New Roman"/>
                <w:vertAlign w:val="superscript"/>
              </w:rPr>
              <w:t>2</w:t>
            </w:r>
            <w:r>
              <w:rPr>
                <w:rFonts w:ascii="Times New Roman" w:hAnsi="Times New Roman" w:cs="Times New Roman"/>
              </w:rPr>
              <w:t>。包括三垧梁工业片区、达电-亿利片区。四至范围具体为，三垧梁片区东至新奥园区、西至S41省道、南至兴巴高速、北至包茂高速。达电-亿利片区边界为西至S4省道、南至达电运煤专线。</w:t>
            </w:r>
          </w:p>
          <w:p>
            <w:pPr>
              <w:pStyle w:val="82"/>
              <w:rPr>
                <w:rFonts w:hint="default" w:ascii="Times New Roman" w:hAnsi="Times New Roman" w:cs="Times New Roman"/>
              </w:rPr>
            </w:pPr>
            <w:r>
              <w:rPr>
                <w:rFonts w:ascii="Times New Roman" w:hAnsi="Times New Roman" w:cs="Times New Roman"/>
              </w:rPr>
              <w:t>达拉特物流园：开发边界面积6.41km</w:t>
            </w:r>
            <w:r>
              <w:rPr>
                <w:rFonts w:ascii="Times New Roman" w:hAnsi="Times New Roman" w:cs="Times New Roman"/>
                <w:vertAlign w:val="superscript"/>
              </w:rPr>
              <w:t>2</w:t>
            </w:r>
            <w:r>
              <w:rPr>
                <w:rFonts w:ascii="Times New Roman" w:hAnsi="Times New Roman" w:cs="Times New Roman"/>
              </w:rPr>
              <w:t>，开发边界四至范围总面积6.46km</w:t>
            </w:r>
            <w:r>
              <w:rPr>
                <w:rFonts w:ascii="Times New Roman" w:hAnsi="Times New Roman" w:cs="Times New Roman"/>
                <w:vertAlign w:val="superscript"/>
              </w:rPr>
              <w:t>2</w:t>
            </w:r>
            <w:r>
              <w:rPr>
                <w:rFonts w:ascii="Times New Roman" w:hAnsi="Times New Roman" w:cs="Times New Roman"/>
              </w:rPr>
              <w:t>。包括三垧梁片区(物流板块)、风水梁片区，其中三垧梁片区(物流板块)北至兴巴高速，南至沿河铁路。风水梁片区西至德敖公路、北至沿河铁路。</w:t>
            </w:r>
          </w:p>
          <w:p>
            <w:pPr>
              <w:pStyle w:val="82"/>
              <w:rPr>
                <w:rFonts w:hint="default" w:ascii="Times New Roman" w:hAnsi="Times New Roman" w:cs="Times New Roman"/>
              </w:rPr>
            </w:pPr>
            <w:r>
              <w:rPr>
                <w:rFonts w:ascii="Times New Roman" w:hAnsi="Times New Roman" w:cs="Times New Roman"/>
              </w:rPr>
              <w:t>本项目位于</w:t>
            </w:r>
            <w:r>
              <w:rPr>
                <w:rFonts w:ascii="Times New Roman" w:hAnsi="Times New Roman" w:cs="Times New Roman"/>
                <w:bCs/>
              </w:rPr>
              <w:t>内蒙古鄂尔多斯达拉特经济开发区达拉特产业园三垧梁工业片区</w:t>
            </w:r>
            <w:r>
              <w:rPr>
                <w:rFonts w:ascii="Times New Roman" w:hAnsi="Times New Roman" w:cs="Times New Roman"/>
              </w:rPr>
              <w:t>。</w:t>
            </w:r>
          </w:p>
          <w:p>
            <w:pPr>
              <w:pStyle w:val="82"/>
              <w:rPr>
                <w:rFonts w:hint="default" w:ascii="Times New Roman" w:hAnsi="Times New Roman" w:cs="Times New Roman"/>
              </w:rPr>
            </w:pPr>
            <w:r>
              <w:rPr>
                <w:rFonts w:ascii="Times New Roman" w:hAnsi="Times New Roman" w:cs="Times New Roman"/>
              </w:rPr>
              <w:t>（2）产业定位及主导产业</w:t>
            </w:r>
          </w:p>
          <w:p>
            <w:pPr>
              <w:pStyle w:val="82"/>
              <w:rPr>
                <w:rFonts w:hint="default" w:ascii="Times New Roman" w:hAnsi="Times New Roman" w:cs="Times New Roman"/>
              </w:rPr>
            </w:pPr>
            <w:r>
              <w:rPr>
                <w:rFonts w:ascii="Times New Roman" w:hAnsi="Times New Roman" w:cs="Times New Roman"/>
              </w:rPr>
              <w:t>园区总体发展定位为：国家能源化工及新材料基地。其中：</w:t>
            </w:r>
          </w:p>
          <w:p>
            <w:pPr>
              <w:pStyle w:val="82"/>
              <w:rPr>
                <w:rFonts w:hint="default" w:ascii="Times New Roman" w:hAnsi="Times New Roman" w:cs="Times New Roman"/>
              </w:rPr>
            </w:pPr>
            <w:r>
              <w:rPr>
                <w:rFonts w:ascii="Times New Roman" w:hAnsi="Times New Roman" w:cs="Times New Roman"/>
              </w:rPr>
              <w:t>达拉特产业园：以能源化工(煤电、新能源、化工)和新材料为主导产业，巩固提升以主导产业延链、补链及固废综合利用、装备制造为辅的循环经济产业的园区。</w:t>
            </w:r>
          </w:p>
          <w:p>
            <w:pPr>
              <w:pStyle w:val="82"/>
              <w:rPr>
                <w:rFonts w:hint="default" w:ascii="Times New Roman" w:hAnsi="Times New Roman" w:cs="Times New Roman"/>
              </w:rPr>
            </w:pPr>
            <w:r>
              <w:rPr>
                <w:rFonts w:ascii="Times New Roman" w:hAnsi="Times New Roman" w:cs="Times New Roman"/>
              </w:rPr>
              <w:t>达拉特物流园：以物流主导产业，巩固提升现代商贸、循环经济产业的园区。</w:t>
            </w:r>
          </w:p>
          <w:p>
            <w:pPr>
              <w:pStyle w:val="82"/>
              <w:rPr>
                <w:rFonts w:hint="default" w:ascii="Times New Roman" w:hAnsi="Times New Roman" w:cs="Times New Roman"/>
              </w:rPr>
            </w:pPr>
            <w:r>
              <w:rPr>
                <w:rFonts w:ascii="Times New Roman" w:hAnsi="Times New Roman" w:cs="Times New Roman"/>
              </w:rPr>
              <w:t>园区现有大部分产业位于三垧梁片区(物流1片区除外)，规划以新奥集团股份有限公司、内蒙古新威远生物化工有限公司、内蒙古荣信化工有限公司及园区其他大企业为基础，重点发展新能源、化工，先进有机材料、先进无机非金属材料、先进金属材料、前沿材料，兼顾节能环保(如固废综合利用)产业。</w:t>
            </w:r>
          </w:p>
          <w:p>
            <w:pPr>
              <w:pStyle w:val="82"/>
              <w:rPr>
                <w:rFonts w:hint="default" w:ascii="Times New Roman" w:hAnsi="Times New Roman" w:cs="Times New Roman"/>
              </w:rPr>
            </w:pPr>
            <w:r>
              <w:rPr>
                <w:rFonts w:ascii="Times New Roman" w:hAnsi="Times New Roman" w:cs="Times New Roman"/>
              </w:rPr>
              <w:t>本项目拟对</w:t>
            </w:r>
            <w:r>
              <w:rPr>
                <w:rFonts w:hint="default" w:ascii="Times New Roman" w:hAnsi="Times New Roman" w:cs="Times New Roman"/>
              </w:rPr>
              <w:t>脱碳后的</w:t>
            </w:r>
            <w:r>
              <w:rPr>
                <w:rFonts w:ascii="Times New Roman" w:hAnsi="Times New Roman" w:cs="Times New Roman"/>
              </w:rPr>
              <w:t>气化渣</w:t>
            </w:r>
            <w:r>
              <w:rPr>
                <w:rFonts w:hint="default" w:ascii="Times New Roman" w:hAnsi="Times New Roman" w:cs="Times New Roman"/>
              </w:rPr>
              <w:t>尾渣</w:t>
            </w:r>
            <w:r>
              <w:rPr>
                <w:rFonts w:ascii="Times New Roman" w:hAnsi="Times New Roman" w:cs="Times New Roman"/>
              </w:rPr>
              <w:t>进行有价金属分离，项目可提升气化渣的</w:t>
            </w:r>
            <w:r>
              <w:rPr>
                <w:rFonts w:hint="default" w:ascii="Times New Roman" w:hAnsi="Times New Roman" w:cs="Times New Roman"/>
              </w:rPr>
              <w:t>综合利用价值</w:t>
            </w:r>
            <w:r>
              <w:rPr>
                <w:rFonts w:ascii="Times New Roman" w:hAnsi="Times New Roman" w:cs="Times New Roman"/>
              </w:rPr>
              <w:t>，属于能源化工产生的固体废物处理并实现综合利用配套项目，符合“巩固提升以主导产业延链、补链及固废综合利用”，</w:t>
            </w:r>
            <w:bookmarkStart w:id="26" w:name="_Hlk139813255"/>
            <w:r>
              <w:rPr>
                <w:rFonts w:ascii="Times New Roman" w:hAnsi="Times New Roman" w:cs="Times New Roman"/>
              </w:rPr>
              <w:t>符合达拉特产业园以及三垧梁工业片区的产业定位、主导产业。</w:t>
            </w:r>
            <w:bookmarkEnd w:id="26"/>
          </w:p>
          <w:p>
            <w:pPr>
              <w:pStyle w:val="82"/>
              <w:rPr>
                <w:rFonts w:hint="default" w:ascii="Times New Roman" w:hAnsi="Times New Roman" w:cs="Times New Roman"/>
              </w:rPr>
            </w:pPr>
            <w:r>
              <w:rPr>
                <w:rFonts w:ascii="Times New Roman" w:hAnsi="Times New Roman" w:cs="Times New Roman"/>
              </w:rPr>
              <w:t>（3）用地规划</w:t>
            </w:r>
          </w:p>
          <w:p>
            <w:pPr>
              <w:pStyle w:val="82"/>
              <w:rPr>
                <w:rFonts w:hint="default" w:ascii="Times New Roman" w:hAnsi="Times New Roman" w:cs="Times New Roman"/>
              </w:rPr>
            </w:pPr>
            <w:r>
              <w:rPr>
                <w:rFonts w:ascii="Times New Roman" w:hAnsi="Times New Roman" w:cs="Times New Roman"/>
              </w:rPr>
              <w:t>规划到2035年工矿用地达到3329.92hm</w:t>
            </w:r>
            <w:r>
              <w:rPr>
                <w:rFonts w:ascii="Times New Roman" w:hAnsi="Times New Roman" w:cs="Times New Roman"/>
                <w:vertAlign w:val="superscript"/>
              </w:rPr>
              <w:t>2</w:t>
            </w:r>
            <w:r>
              <w:rPr>
                <w:rFonts w:ascii="Times New Roman" w:hAnsi="Times New Roman" w:cs="Times New Roman"/>
              </w:rPr>
              <w:t>，占开发边界规模的49.32%。</w:t>
            </w:r>
          </w:p>
          <w:p>
            <w:pPr>
              <w:pStyle w:val="82"/>
              <w:rPr>
                <w:rFonts w:hint="default" w:ascii="Times New Roman" w:hAnsi="Times New Roman" w:cs="Times New Roman"/>
              </w:rPr>
            </w:pPr>
            <w:r>
              <w:rPr>
                <w:rFonts w:ascii="Times New Roman" w:hAnsi="Times New Roman" w:cs="Times New Roman"/>
              </w:rPr>
              <w:t>工矿用地广泛分布于三垧梁片区、达电-亿利片区，总体以二类工业用地为主；因园区未来发展建设的不确定性，可根据实际情况，在不违背工业建设相关法律规范的前提下，部分二类工业用地可适当发展三类工业。</w:t>
            </w:r>
          </w:p>
          <w:p>
            <w:pPr>
              <w:pStyle w:val="82"/>
              <w:rPr>
                <w:rFonts w:hint="default" w:ascii="Times New Roman" w:hAnsi="Times New Roman" w:cs="Times New Roman"/>
              </w:rPr>
            </w:pPr>
            <w:r>
              <w:rPr>
                <w:rFonts w:ascii="Times New Roman" w:hAnsi="Times New Roman" w:cs="Times New Roman"/>
              </w:rPr>
              <w:t xml:space="preserve">其中达电-亿利片区依托现有达拉特发电厂，亿利化学等公司，规划以能源化工及其配套产业为主，兼顾发展现有产业相关的深加工产业。 </w:t>
            </w:r>
          </w:p>
          <w:p>
            <w:pPr>
              <w:pStyle w:val="82"/>
              <w:rPr>
                <w:rFonts w:hint="default" w:ascii="Times New Roman" w:hAnsi="Times New Roman" w:cs="Times New Roman"/>
              </w:rPr>
            </w:pPr>
            <w:r>
              <w:rPr>
                <w:rFonts w:ascii="Times New Roman" w:hAnsi="Times New Roman" w:cs="Times New Roman"/>
              </w:rPr>
              <w:t>园区现有大部分产业位于三垧梁片区(物流1片区除外)，规划以新奥集团股份有限公司、内蒙古新威远生物化工有限公司、内蒙古荣信化工有限公司及园区其他大企业为基础，重点发展新能源、化工，先进有机材料、先进无机非金属材料、先进金属材料、前沿材料，兼顾节能环保(如固废综合利用)产业。风水梁片区及达拉特片区配套物流园现有产业基础相对薄弱，主要发展物流及其配套产业。</w:t>
            </w:r>
          </w:p>
          <w:p>
            <w:pPr>
              <w:pStyle w:val="82"/>
              <w:rPr>
                <w:rFonts w:hint="default" w:ascii="Times New Roman" w:hAnsi="Times New Roman" w:cs="Times New Roman"/>
                <w:color w:val="000000" w:themeColor="text1"/>
                <w14:textFill>
                  <w14:solidFill>
                    <w14:schemeClr w14:val="tx1"/>
                  </w14:solidFill>
                </w14:textFill>
              </w:rPr>
            </w:pPr>
            <w:r>
              <w:rPr>
                <w:rFonts w:ascii="Times New Roman" w:hAnsi="Times New Roman" w:cs="Times New Roman"/>
              </w:rPr>
              <w:t>本项目位于</w:t>
            </w:r>
            <w:bookmarkStart w:id="27" w:name="OLE_LINK272"/>
            <w:bookmarkStart w:id="28" w:name="OLE_LINK259"/>
            <w:r>
              <w:rPr>
                <w:rFonts w:ascii="Times New Roman" w:hAnsi="Times New Roman" w:cs="Times New Roman"/>
              </w:rPr>
              <w:t>三垧梁</w:t>
            </w:r>
            <w:bookmarkEnd w:id="27"/>
            <w:bookmarkEnd w:id="28"/>
            <w:r>
              <w:rPr>
                <w:rFonts w:ascii="Times New Roman" w:hAnsi="Times New Roman" w:cs="Times New Roman"/>
              </w:rPr>
              <w:t>工业片区内蒙古晟能能源有限责任公司现有厂区范围内，所属用地为工业用地（见附图），根据《内蒙古鄂尔多斯达拉特经济开发区总体规划(202</w:t>
            </w:r>
            <w:r>
              <w:rPr>
                <w:rFonts w:hint="default" w:ascii="Times New Roman" w:hAnsi="Times New Roman" w:cs="Times New Roman"/>
              </w:rPr>
              <w:t>1</w:t>
            </w:r>
            <w:r>
              <w:rPr>
                <w:rFonts w:ascii="Times New Roman" w:hAnsi="Times New Roman" w:cs="Times New Roman"/>
              </w:rPr>
              <w:t>-2035)》，本项目位于</w:t>
            </w:r>
            <w:r>
              <w:rPr>
                <w:rFonts w:ascii="Times New Roman" w:hAnsi="Times New Roman" w:cs="Times New Roman"/>
                <w:color w:val="FF0000"/>
              </w:rPr>
              <w:t>三垧梁</w:t>
            </w:r>
            <w:r>
              <w:rPr>
                <w:rFonts w:ascii="Times New Roman" w:hAnsi="Times New Roman" w:cs="Times New Roman"/>
              </w:rPr>
              <w:t>工业片区内化工、新材料及配套产业区，满足其主导产业中固废综合利用的定位，符合园区规划</w:t>
            </w:r>
            <w:r>
              <w:rPr>
                <w:rFonts w:ascii="Times New Roman" w:hAnsi="Times New Roman" w:cs="Times New Roman"/>
                <w:color w:val="000000" w:themeColor="text1"/>
                <w14:textFill>
                  <w14:solidFill>
                    <w14:schemeClr w14:val="tx1"/>
                  </w14:solidFill>
                </w14:textFill>
              </w:rPr>
              <w:t>。</w:t>
            </w:r>
          </w:p>
          <w:p>
            <w:pPr>
              <w:pStyle w:val="92"/>
              <w:spacing w:before="120"/>
              <w:rPr>
                <w:rFonts w:hint="default" w:ascii="Times New Roman" w:hAnsi="Times New Roman" w:cs="Times New Roman"/>
                <w:color w:val="auto"/>
              </w:rPr>
            </w:pPr>
            <w:r>
              <w:rPr>
                <w:rFonts w:hint="default" w:ascii="Times New Roman" w:hAnsi="Times New Roman" w:cs="Times New Roman"/>
                <w:color w:val="auto"/>
              </w:rPr>
              <w:t>与《内蒙古鄂尔多斯达拉特经济开发区总体规划(2021-2035)环境影响报告书》</w:t>
            </w:r>
            <w:r>
              <w:rPr>
                <w:rFonts w:ascii="Times New Roman" w:hAnsi="Times New Roman" w:cs="Times New Roman"/>
                <w:color w:val="auto"/>
              </w:rPr>
              <w:t>的</w:t>
            </w:r>
            <w:r>
              <w:rPr>
                <w:rFonts w:hint="default" w:ascii="Times New Roman" w:hAnsi="Times New Roman" w:cs="Times New Roman"/>
                <w:color w:val="auto"/>
              </w:rPr>
              <w:t>符合性分析</w:t>
            </w:r>
          </w:p>
          <w:p>
            <w:pPr>
              <w:pStyle w:val="82"/>
              <w:rPr>
                <w:rFonts w:hint="default" w:ascii="Times New Roman" w:hAnsi="Times New Roman" w:cs="Times New Roman"/>
              </w:rPr>
            </w:pPr>
            <w:r>
              <w:rPr>
                <w:rFonts w:hint="default" w:ascii="Times New Roman" w:hAnsi="Times New Roman" w:cs="Times New Roman"/>
              </w:rPr>
              <w:t>本项目与《内蒙古鄂尔多斯达拉特经济开发区总体规划(2021-2035)环境影响报告书》审查意见符合性分析见表1-1。</w:t>
            </w:r>
          </w:p>
          <w:p>
            <w:pPr>
              <w:pStyle w:val="89"/>
              <w:rPr>
                <w:rFonts w:hint="default" w:ascii="Times New Roman" w:hAnsi="Times New Roman" w:cs="Times New Roman"/>
                <w:color w:val="auto"/>
              </w:rPr>
            </w:pPr>
            <w:r>
              <w:rPr>
                <w:rFonts w:hint="default" w:ascii="Times New Roman" w:hAnsi="Times New Roman" w:cs="Times New Roman"/>
                <w:color w:val="auto"/>
              </w:rPr>
              <w:t>表1-1 本项目与规划环评及审查意见符合性分析</w:t>
            </w:r>
          </w:p>
          <w:tbl>
            <w:tblPr>
              <w:tblStyle w:val="24"/>
              <w:tblW w:w="494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2"/>
              <w:gridCol w:w="3599"/>
              <w:gridCol w:w="2124"/>
              <w:gridCol w:w="3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31" w:type="pct"/>
                  <w:tcBorders>
                    <w:top w:val="single" w:color="auto" w:sz="12" w:space="0"/>
                    <w:left w:val="nil"/>
                    <w:bottom w:val="single" w:color="auto" w:sz="4" w:space="0"/>
                    <w:right w:val="single" w:color="auto" w:sz="4" w:space="0"/>
                  </w:tcBorders>
                  <w:vAlign w:val="center"/>
                </w:tcPr>
                <w:p>
                  <w:pPr>
                    <w:pStyle w:val="89"/>
                    <w:rPr>
                      <w:rFonts w:hint="default" w:ascii="Times New Roman" w:hAnsi="Times New Roman" w:cs="Times New Roman"/>
                      <w:color w:val="auto"/>
                    </w:rPr>
                  </w:pPr>
                  <w:r>
                    <w:rPr>
                      <w:rFonts w:hint="default" w:ascii="Times New Roman" w:hAnsi="Times New Roman" w:cs="Times New Roman"/>
                      <w:color w:val="auto"/>
                    </w:rPr>
                    <w:t>序号</w:t>
                  </w:r>
                </w:p>
              </w:tc>
              <w:tc>
                <w:tcPr>
                  <w:tcW w:w="2753" w:type="pct"/>
                  <w:tcBorders>
                    <w:top w:val="single" w:color="auto" w:sz="12" w:space="0"/>
                    <w:left w:val="nil"/>
                    <w:bottom w:val="single" w:color="auto" w:sz="4" w:space="0"/>
                    <w:right w:val="single" w:color="auto" w:sz="4" w:space="0"/>
                  </w:tcBorders>
                  <w:vAlign w:val="center"/>
                </w:tcPr>
                <w:p>
                  <w:pPr>
                    <w:pStyle w:val="89"/>
                    <w:rPr>
                      <w:rFonts w:hint="default" w:ascii="Times New Roman" w:hAnsi="Times New Roman" w:cs="Times New Roman"/>
                      <w:color w:val="auto"/>
                    </w:rPr>
                  </w:pPr>
                  <w:r>
                    <w:rPr>
                      <w:rFonts w:hint="default" w:ascii="Times New Roman" w:hAnsi="Times New Roman" w:cs="Times New Roman"/>
                      <w:color w:val="auto"/>
                      <w:kern w:val="0"/>
                    </w:rPr>
                    <w:t>规划环评及</w:t>
                  </w:r>
                  <w:r>
                    <w:rPr>
                      <w:rFonts w:hint="default" w:ascii="Times New Roman" w:hAnsi="Times New Roman" w:cs="Times New Roman"/>
                      <w:color w:val="auto"/>
                    </w:rPr>
                    <w:t>审查意见</w:t>
                  </w:r>
                </w:p>
              </w:tc>
              <w:tc>
                <w:tcPr>
                  <w:tcW w:w="1625" w:type="pct"/>
                  <w:tcBorders>
                    <w:top w:val="single" w:color="auto" w:sz="12" w:space="0"/>
                    <w:left w:val="nil"/>
                    <w:bottom w:val="single" w:color="auto" w:sz="4" w:space="0"/>
                    <w:right w:val="nil"/>
                  </w:tcBorders>
                  <w:vAlign w:val="center"/>
                </w:tcPr>
                <w:p>
                  <w:pPr>
                    <w:pStyle w:val="89"/>
                    <w:rPr>
                      <w:rFonts w:hint="default" w:ascii="Times New Roman" w:hAnsi="Times New Roman" w:cs="Times New Roman"/>
                      <w:color w:val="auto"/>
                    </w:rPr>
                  </w:pPr>
                  <w:r>
                    <w:rPr>
                      <w:rFonts w:hint="default" w:ascii="Times New Roman" w:hAnsi="Times New Roman" w:cs="Times New Roman"/>
                      <w:color w:val="auto"/>
                    </w:rPr>
                    <w:t>本项目情况</w:t>
                  </w:r>
                </w:p>
              </w:tc>
              <w:tc>
                <w:tcPr>
                  <w:tcW w:w="291" w:type="pct"/>
                  <w:tcBorders>
                    <w:top w:val="single" w:color="auto" w:sz="12" w:space="0"/>
                    <w:left w:val="single" w:color="auto" w:sz="4" w:space="0"/>
                    <w:bottom w:val="single" w:color="auto" w:sz="4" w:space="0"/>
                    <w:right w:val="nil"/>
                  </w:tcBorders>
                  <w:vAlign w:val="center"/>
                </w:tcPr>
                <w:p>
                  <w:pPr>
                    <w:pStyle w:val="89"/>
                    <w:rPr>
                      <w:rFonts w:hint="default" w:ascii="Times New Roman" w:hAnsi="Times New Roman" w:cs="Times New Roman"/>
                      <w:color w:val="auto"/>
                    </w:rPr>
                  </w:pPr>
                  <w:r>
                    <w:rPr>
                      <w:rFonts w:hint="default" w:ascii="Times New Roman" w:hAnsi="Times New Roman" w:cs="Times New Roman"/>
                      <w:color w:val="auto"/>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31" w:type="pct"/>
                  <w:tcBorders>
                    <w:top w:val="single" w:color="auto" w:sz="4" w:space="0"/>
                    <w:left w:val="nil"/>
                    <w:bottom w:val="single" w:color="auto" w:sz="4" w:space="0"/>
                    <w:right w:val="single" w:color="auto" w:sz="4" w:space="0"/>
                  </w:tcBorders>
                  <w:vAlign w:val="center"/>
                </w:tcPr>
                <w:p>
                  <w:pPr>
                    <w:pStyle w:val="86"/>
                    <w:rPr>
                      <w:rFonts w:hint="default" w:ascii="Times New Roman" w:hAnsi="Times New Roman" w:cs="Times New Roman"/>
                    </w:rPr>
                  </w:pPr>
                  <w:r>
                    <w:rPr>
                      <w:rFonts w:hint="default" w:ascii="Times New Roman" w:hAnsi="Times New Roman" w:cs="Times New Roman"/>
                    </w:rPr>
                    <w:t>1</w:t>
                  </w:r>
                </w:p>
              </w:tc>
              <w:tc>
                <w:tcPr>
                  <w:tcW w:w="2753" w:type="pct"/>
                  <w:tcBorders>
                    <w:top w:val="single" w:color="auto" w:sz="4" w:space="0"/>
                    <w:left w:val="nil"/>
                    <w:bottom w:val="single" w:color="auto" w:sz="4" w:space="0"/>
                    <w:right w:val="single" w:color="auto" w:sz="4" w:space="0"/>
                  </w:tcBorders>
                  <w:vAlign w:val="center"/>
                </w:tcPr>
                <w:p>
                  <w:pPr>
                    <w:pStyle w:val="83"/>
                    <w:rPr>
                      <w:rFonts w:hint="default" w:ascii="Times New Roman" w:hAnsi="Times New Roman" w:cs="Times New Roman"/>
                    </w:rPr>
                  </w:pPr>
                  <w:r>
                    <w:rPr>
                      <w:rFonts w:hint="default" w:ascii="Times New Roman" w:hAnsi="Times New Roman" w:cs="Times New Roman"/>
                    </w:rPr>
                    <w:t>坚持生态优先、绿色发展理念，加强规划引领。园区总体规划应做好与自治区、鄂尔多斯市国土空间规划及“三线一单”的协调衔接，并要与当地其它专项规划相协调。按照《内蒙古自治区人民政府关于促进工业园区高质量发展的若干意见》(内政发[2019]21号)《内蒙古自治区人民政府办公厅关于进一步加强全区自治区级及以上工业园区环境保护工作的通知》(内政办发[2018]88号)及自治区、鄂尔多斯市国民经济和社会发展第十四个五年规划和2035年远景目标纲要等要求，指导园区建设。</w:t>
                  </w:r>
                </w:p>
              </w:tc>
              <w:tc>
                <w:tcPr>
                  <w:tcW w:w="1625" w:type="pct"/>
                  <w:tcBorders>
                    <w:top w:val="single" w:color="auto" w:sz="4" w:space="0"/>
                    <w:left w:val="nil"/>
                    <w:bottom w:val="single" w:color="auto" w:sz="4" w:space="0"/>
                    <w:right w:val="nil"/>
                  </w:tcBorders>
                  <w:vAlign w:val="center"/>
                </w:tcPr>
                <w:p>
                  <w:pPr>
                    <w:pStyle w:val="83"/>
                    <w:rPr>
                      <w:rFonts w:hint="default" w:ascii="Times New Roman" w:hAnsi="Times New Roman" w:cs="Times New Roman"/>
                    </w:rPr>
                  </w:pPr>
                  <w:r>
                    <w:rPr>
                      <w:kern w:val="0"/>
                      <w:highlight w:val="yellow"/>
                    </w:rPr>
                    <w:t>建设项目符合园区规划（见附件七）</w:t>
                  </w:r>
                </w:p>
              </w:tc>
              <w:tc>
                <w:tcPr>
                  <w:tcW w:w="291" w:type="pct"/>
                  <w:tcBorders>
                    <w:top w:val="single" w:color="auto" w:sz="4" w:space="0"/>
                    <w:left w:val="single" w:color="auto" w:sz="4" w:space="0"/>
                    <w:bottom w:val="single" w:color="auto" w:sz="4" w:space="0"/>
                    <w:right w:val="nil"/>
                  </w:tcBorders>
                  <w:vAlign w:val="center"/>
                </w:tcPr>
                <w:p>
                  <w:pPr>
                    <w:pStyle w:val="86"/>
                    <w:rPr>
                      <w:rFonts w:hint="default" w:ascii="Times New Roman" w:hAnsi="Times New Roman" w:cs="Times New Roman"/>
                    </w:rPr>
                  </w:pPr>
                  <w:r>
                    <w:rPr>
                      <w:rFonts w:hint="default" w:ascii="Times New Roman" w:hAnsi="Times New Roman" w:cs="Times New Roma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31" w:type="pct"/>
                  <w:tcBorders>
                    <w:top w:val="single" w:color="auto" w:sz="4" w:space="0"/>
                    <w:left w:val="nil"/>
                    <w:bottom w:val="single" w:color="auto" w:sz="4" w:space="0"/>
                    <w:right w:val="single" w:color="auto" w:sz="4" w:space="0"/>
                  </w:tcBorders>
                  <w:vAlign w:val="center"/>
                </w:tcPr>
                <w:p>
                  <w:pPr>
                    <w:pStyle w:val="86"/>
                    <w:rPr>
                      <w:rFonts w:hint="default" w:ascii="Times New Roman" w:hAnsi="Times New Roman" w:cs="Times New Roman"/>
                    </w:rPr>
                  </w:pPr>
                  <w:r>
                    <w:rPr>
                      <w:rFonts w:hint="default" w:ascii="Times New Roman" w:hAnsi="Times New Roman" w:cs="Times New Roman"/>
                    </w:rPr>
                    <w:t>2</w:t>
                  </w:r>
                </w:p>
              </w:tc>
              <w:tc>
                <w:tcPr>
                  <w:tcW w:w="2753" w:type="pct"/>
                  <w:tcBorders>
                    <w:top w:val="single" w:color="auto" w:sz="4" w:space="0"/>
                    <w:left w:val="nil"/>
                    <w:bottom w:val="single" w:color="auto" w:sz="4" w:space="0"/>
                    <w:right w:val="single" w:color="auto" w:sz="4" w:space="0"/>
                  </w:tcBorders>
                  <w:vAlign w:val="center"/>
                </w:tcPr>
                <w:p>
                  <w:pPr>
                    <w:pStyle w:val="83"/>
                    <w:rPr>
                      <w:rFonts w:hint="default" w:ascii="Times New Roman" w:hAnsi="Times New Roman" w:cs="Times New Roman"/>
                    </w:rPr>
                  </w:pPr>
                  <w:r>
                    <w:rPr>
                      <w:rFonts w:hint="default" w:ascii="Times New Roman" w:hAnsi="Times New Roman" w:cs="Times New Roman"/>
                    </w:rPr>
                    <w:t>严格生态环境准入，推动高质量发展。园区应结合区域资源禀赋、生态敏感特征、生态功能保护、自治区及鄂尔多斯市“十四五”能耗双控、区域及行业碳达峰目标约束等要求，坚持循环经济和能源高效利用理念，合理发展能源化工、新材料等产业并严控规模，重点发展补链延链强链产业，提升园区产业发展质量和效益。严格按照园区规划、规划环评和产业政策、行业规范(准入)条件等要求管理新入园项目，不得引进污染物排放量大的非主导产业项目。严控“两高”项目及生产工艺，确需建设的，应全面执行国家和自治区关于“两高”项目准入的各项规定。全面落实“四水四定”要求，审慎引进高耗水行业。</w:t>
                  </w:r>
                </w:p>
              </w:tc>
              <w:tc>
                <w:tcPr>
                  <w:tcW w:w="1625" w:type="pct"/>
                  <w:tcBorders>
                    <w:top w:val="single" w:color="auto" w:sz="4" w:space="0"/>
                    <w:left w:val="nil"/>
                    <w:bottom w:val="single" w:color="auto" w:sz="4" w:space="0"/>
                    <w:right w:val="nil"/>
                  </w:tcBorders>
                  <w:vAlign w:val="center"/>
                </w:tcPr>
                <w:p>
                  <w:pPr>
                    <w:pStyle w:val="83"/>
                    <w:rPr>
                      <w:rFonts w:hint="default" w:ascii="Times New Roman" w:hAnsi="Times New Roman" w:cs="Times New Roman"/>
                    </w:rPr>
                  </w:pPr>
                  <w:r>
                    <w:rPr>
                      <w:rFonts w:ascii="Times New Roman" w:hAnsi="Times New Roman" w:cs="Times New Roman"/>
                    </w:rPr>
                    <w:t>本项目符合园区主导产业，不属于“两高”项目。根据与产业政策符合性分析，项目符合《产业结构调整指导目录（2024年本）》，同时取得达拉特旗工信和科技局关于本项目的备案文件，项目符合国家及地方产业政策要求。本项目不属于高耗水项目。</w:t>
                  </w:r>
                </w:p>
              </w:tc>
              <w:tc>
                <w:tcPr>
                  <w:tcW w:w="291" w:type="pct"/>
                  <w:tcBorders>
                    <w:top w:val="single" w:color="auto" w:sz="4" w:space="0"/>
                    <w:left w:val="single" w:color="auto" w:sz="4" w:space="0"/>
                    <w:bottom w:val="single" w:color="auto" w:sz="4" w:space="0"/>
                    <w:right w:val="nil"/>
                  </w:tcBorders>
                  <w:vAlign w:val="center"/>
                </w:tcPr>
                <w:p>
                  <w:pPr>
                    <w:pStyle w:val="86"/>
                    <w:rPr>
                      <w:rFonts w:hint="default" w:ascii="Times New Roman" w:hAnsi="Times New Roman" w:cs="Times New Roman"/>
                    </w:rPr>
                  </w:pPr>
                  <w:r>
                    <w:rPr>
                      <w:rFonts w:hint="default" w:ascii="Times New Roman" w:hAnsi="Times New Roman" w:cs="Times New Roma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31" w:type="pct"/>
                  <w:tcBorders>
                    <w:top w:val="single" w:color="auto" w:sz="4" w:space="0"/>
                    <w:left w:val="nil"/>
                    <w:bottom w:val="single" w:color="auto" w:sz="4" w:space="0"/>
                    <w:right w:val="single" w:color="auto" w:sz="4" w:space="0"/>
                  </w:tcBorders>
                  <w:vAlign w:val="center"/>
                </w:tcPr>
                <w:p>
                  <w:pPr>
                    <w:pStyle w:val="86"/>
                    <w:rPr>
                      <w:rFonts w:hint="default" w:ascii="Times New Roman" w:hAnsi="Times New Roman" w:cs="Times New Roman"/>
                    </w:rPr>
                  </w:pPr>
                  <w:r>
                    <w:rPr>
                      <w:rFonts w:hint="default" w:ascii="Times New Roman" w:hAnsi="Times New Roman" w:cs="Times New Roman"/>
                    </w:rPr>
                    <w:t>3</w:t>
                  </w:r>
                </w:p>
              </w:tc>
              <w:tc>
                <w:tcPr>
                  <w:tcW w:w="2753" w:type="pct"/>
                  <w:tcBorders>
                    <w:top w:val="single" w:color="auto" w:sz="4" w:space="0"/>
                    <w:left w:val="nil"/>
                    <w:bottom w:val="single" w:color="auto" w:sz="4" w:space="0"/>
                    <w:right w:val="single" w:color="auto" w:sz="4" w:space="0"/>
                  </w:tcBorders>
                  <w:vAlign w:val="center"/>
                </w:tcPr>
                <w:p>
                  <w:pPr>
                    <w:pStyle w:val="83"/>
                    <w:rPr>
                      <w:rFonts w:hint="default" w:ascii="Times New Roman" w:hAnsi="Times New Roman" w:cs="Times New Roman"/>
                    </w:rPr>
                  </w:pPr>
                  <w:r>
                    <w:rPr>
                      <w:rFonts w:hint="default" w:ascii="Times New Roman" w:hAnsi="Times New Roman" w:cs="Times New Roman"/>
                    </w:rPr>
                    <w:t>严格空间管控，优化产业布局。按照相关要求做好规划控制和防护带建设，园区与居民区、黄河干流及重要支流、饮用水水源保护区等环境敏感区之间应设置足够的绿化隔离带，食品、药品生产企业周边应预留一定的防护距离，确保园区产业发展与生态环境、人居环境相协调。配合达拉特旗人民政府及其有关部门做好园区及周边区域的规划控制和优化调整，发现不符合管控要求的相关行为，应及时向达拉特旗人民政府报告。清退园区内不符合产业政策及长期停产且无复产可能的项目，提高土地利用价值。</w:t>
                  </w:r>
                </w:p>
              </w:tc>
              <w:tc>
                <w:tcPr>
                  <w:tcW w:w="1625" w:type="pct"/>
                  <w:tcBorders>
                    <w:top w:val="single" w:color="auto" w:sz="4" w:space="0"/>
                    <w:left w:val="nil"/>
                    <w:bottom w:val="single" w:color="auto" w:sz="4" w:space="0"/>
                    <w:right w:val="nil"/>
                  </w:tcBorders>
                  <w:vAlign w:val="center"/>
                </w:tcPr>
                <w:p>
                  <w:pPr>
                    <w:pStyle w:val="83"/>
                    <w:rPr>
                      <w:rFonts w:hint="default" w:ascii="Times New Roman" w:hAnsi="Times New Roman" w:cs="Times New Roman"/>
                    </w:rPr>
                  </w:pPr>
                  <w:r>
                    <w:rPr>
                      <w:rFonts w:ascii="Times New Roman" w:hAnsi="Times New Roman" w:cs="Times New Roman"/>
                    </w:rPr>
                    <w:t>本项目</w:t>
                  </w:r>
                  <w:r>
                    <w:rPr>
                      <w:bCs/>
                      <w:kern w:val="0"/>
                    </w:rPr>
                    <w:t>属于固体废物治理及综合利用产业配套项目，可提升气化渣处理产品的利用价值，</w:t>
                  </w:r>
                  <w:r>
                    <w:rPr>
                      <w:rFonts w:ascii="Times New Roman" w:hAnsi="Times New Roman" w:cs="Times New Roman"/>
                    </w:rPr>
                    <w:t>周边无环境敏感区，无食品、药品生产企业，</w:t>
                  </w:r>
                  <w:r>
                    <w:rPr>
                      <w:bCs/>
                      <w:kern w:val="0"/>
                    </w:rPr>
                    <w:t>项目</w:t>
                  </w:r>
                  <w:r>
                    <w:rPr>
                      <w:rFonts w:ascii="Times New Roman" w:hAnsi="Times New Roman" w:cs="Times New Roman"/>
                    </w:rPr>
                    <w:t>且</w:t>
                  </w:r>
                  <w:r>
                    <w:rPr>
                      <w:rFonts w:hint="default" w:ascii="Times New Roman" w:hAnsi="Times New Roman" w:cs="Times New Roman"/>
                    </w:rPr>
                    <w:t>项目属于《产业结构调整指导目录（2024年本）》鼓励类项目，符合产业政策，项目地周边无环境敏感目标。</w:t>
                  </w:r>
                </w:p>
              </w:tc>
              <w:tc>
                <w:tcPr>
                  <w:tcW w:w="291" w:type="pct"/>
                  <w:tcBorders>
                    <w:top w:val="single" w:color="auto" w:sz="4" w:space="0"/>
                    <w:left w:val="single" w:color="auto" w:sz="4" w:space="0"/>
                    <w:bottom w:val="single" w:color="auto" w:sz="4" w:space="0"/>
                    <w:right w:val="nil"/>
                  </w:tcBorders>
                  <w:vAlign w:val="center"/>
                </w:tcPr>
                <w:p>
                  <w:pPr>
                    <w:pStyle w:val="86"/>
                    <w:rPr>
                      <w:rFonts w:hint="default" w:ascii="Times New Roman" w:hAnsi="Times New Roman" w:cs="Times New Roman"/>
                    </w:rPr>
                  </w:pPr>
                  <w:r>
                    <w:rPr>
                      <w:rFonts w:hint="default" w:ascii="Times New Roman" w:hAnsi="Times New Roman" w:cs="Times New Roma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31" w:type="pct"/>
                  <w:tcBorders>
                    <w:top w:val="single" w:color="auto" w:sz="4" w:space="0"/>
                    <w:left w:val="nil"/>
                    <w:bottom w:val="single" w:color="auto" w:sz="4" w:space="0"/>
                    <w:right w:val="single" w:color="auto" w:sz="4" w:space="0"/>
                  </w:tcBorders>
                  <w:vAlign w:val="center"/>
                </w:tcPr>
                <w:p>
                  <w:pPr>
                    <w:pStyle w:val="86"/>
                    <w:rPr>
                      <w:rFonts w:hint="default" w:ascii="Times New Roman" w:hAnsi="Times New Roman" w:cs="Times New Roman"/>
                    </w:rPr>
                  </w:pPr>
                  <w:r>
                    <w:rPr>
                      <w:rFonts w:hint="default" w:ascii="Times New Roman" w:hAnsi="Times New Roman" w:cs="Times New Roman"/>
                    </w:rPr>
                    <w:t>4</w:t>
                  </w:r>
                </w:p>
              </w:tc>
              <w:tc>
                <w:tcPr>
                  <w:tcW w:w="2753" w:type="pct"/>
                  <w:tcBorders>
                    <w:top w:val="single" w:color="auto" w:sz="4" w:space="0"/>
                    <w:left w:val="nil"/>
                    <w:bottom w:val="single" w:color="auto" w:sz="4" w:space="0"/>
                    <w:right w:val="single" w:color="auto" w:sz="4" w:space="0"/>
                  </w:tcBorders>
                  <w:vAlign w:val="center"/>
                </w:tcPr>
                <w:p>
                  <w:pPr>
                    <w:pStyle w:val="83"/>
                    <w:rPr>
                      <w:rFonts w:hint="default" w:ascii="Times New Roman" w:hAnsi="Times New Roman" w:cs="Times New Roman"/>
                    </w:rPr>
                  </w:pPr>
                  <w:r>
                    <w:rPr>
                      <w:rFonts w:hint="default" w:ascii="Times New Roman" w:hAnsi="Times New Roman" w:cs="Times New Roman"/>
                    </w:rPr>
                    <w:t>严守环境质量底线，强化污染物排放总量管控。根据国家、自治区和鄂尔多斯市关于大气、水、土壤污染防治相关要求，落实污染物区域削减方案，积极推进重点行业按照大气污染物超低排放或特别排放限值进行升级改造，持续减少主要污染物、特征污染物排放量，保障区域环境质量改善。园区内禁止新建35蒸吨/小时以下燃煤锅炉，限期取缔不符合要求的分散式锅炉。</w:t>
                  </w:r>
                </w:p>
              </w:tc>
              <w:tc>
                <w:tcPr>
                  <w:tcW w:w="1625" w:type="pct"/>
                  <w:tcBorders>
                    <w:top w:val="single" w:color="auto" w:sz="4" w:space="0"/>
                    <w:left w:val="nil"/>
                    <w:bottom w:val="single" w:color="auto" w:sz="4" w:space="0"/>
                    <w:right w:val="nil"/>
                  </w:tcBorders>
                  <w:vAlign w:val="center"/>
                </w:tcPr>
                <w:p>
                  <w:pPr>
                    <w:pStyle w:val="83"/>
                    <w:rPr>
                      <w:rFonts w:hint="default" w:ascii="Times New Roman" w:hAnsi="Times New Roman" w:cs="Times New Roman"/>
                    </w:rPr>
                  </w:pPr>
                  <w:r>
                    <w:rPr>
                      <w:rFonts w:hint="default" w:ascii="Times New Roman" w:hAnsi="Times New Roman" w:cs="Times New Roman"/>
                    </w:rPr>
                    <w:t>本项目不涉及总量排放物，且</w:t>
                  </w:r>
                  <w:r>
                    <w:rPr>
                      <w:rFonts w:hint="default" w:ascii="Times New Roman" w:hAnsi="Times New Roman" w:cs="Times New Roman"/>
                      <w:highlight w:val="yellow"/>
                    </w:rPr>
                    <w:t>生产过程中由于原材料含水</w:t>
                  </w:r>
                  <w:r>
                    <w:rPr>
                      <w:rFonts w:ascii="Times New Roman" w:hAnsi="Times New Roman" w:cs="Times New Roman"/>
                      <w:highlight w:val="yellow"/>
                    </w:rPr>
                    <w:t>率</w:t>
                  </w:r>
                  <w:r>
                    <w:rPr>
                      <w:rFonts w:hint="default" w:ascii="Times New Roman" w:hAnsi="Times New Roman" w:cs="Times New Roman"/>
                      <w:highlight w:val="yellow"/>
                    </w:rPr>
                    <w:t>较高，</w:t>
                  </w:r>
                  <w:r>
                    <w:rPr>
                      <w:rFonts w:ascii="Times New Roman" w:hAnsi="Times New Roman" w:cs="Times New Roman"/>
                      <w:highlight w:val="yellow"/>
                    </w:rPr>
                    <w:t>废气产生量较小</w:t>
                  </w:r>
                  <w:r>
                    <w:rPr>
                      <w:rFonts w:ascii="Times New Roman" w:hAnsi="Times New Roman" w:cs="Times New Roman"/>
                    </w:rPr>
                    <w:t>；本项目不新建锅炉。</w:t>
                  </w:r>
                </w:p>
              </w:tc>
              <w:tc>
                <w:tcPr>
                  <w:tcW w:w="291" w:type="pct"/>
                  <w:tcBorders>
                    <w:top w:val="single" w:color="auto" w:sz="4" w:space="0"/>
                    <w:left w:val="single" w:color="auto" w:sz="4" w:space="0"/>
                    <w:bottom w:val="single" w:color="auto" w:sz="4" w:space="0"/>
                    <w:right w:val="nil"/>
                  </w:tcBorders>
                  <w:vAlign w:val="center"/>
                </w:tcPr>
                <w:p>
                  <w:pPr>
                    <w:pStyle w:val="86"/>
                    <w:rPr>
                      <w:rFonts w:hint="default" w:ascii="Times New Roman" w:hAnsi="Times New Roman" w:cs="Times New Roman"/>
                    </w:rPr>
                  </w:pPr>
                  <w:r>
                    <w:rPr>
                      <w:rFonts w:hint="default" w:ascii="Times New Roman" w:hAnsi="Times New Roman" w:cs="Times New Roma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31" w:type="pct"/>
                  <w:tcBorders>
                    <w:top w:val="single" w:color="auto" w:sz="4" w:space="0"/>
                    <w:left w:val="nil"/>
                    <w:bottom w:val="single" w:color="auto" w:sz="4" w:space="0"/>
                    <w:right w:val="single" w:color="auto" w:sz="4" w:space="0"/>
                  </w:tcBorders>
                  <w:vAlign w:val="center"/>
                </w:tcPr>
                <w:p>
                  <w:pPr>
                    <w:pStyle w:val="86"/>
                    <w:rPr>
                      <w:rFonts w:hint="default" w:ascii="Times New Roman" w:hAnsi="Times New Roman" w:cs="Times New Roman"/>
                    </w:rPr>
                  </w:pPr>
                  <w:r>
                    <w:rPr>
                      <w:rFonts w:hint="default" w:ascii="Times New Roman" w:hAnsi="Times New Roman" w:cs="Times New Roman"/>
                    </w:rPr>
                    <w:t>5</w:t>
                  </w:r>
                </w:p>
              </w:tc>
              <w:tc>
                <w:tcPr>
                  <w:tcW w:w="2753" w:type="pct"/>
                  <w:tcBorders>
                    <w:top w:val="single" w:color="auto" w:sz="4" w:space="0"/>
                    <w:left w:val="nil"/>
                    <w:bottom w:val="single" w:color="auto" w:sz="4" w:space="0"/>
                    <w:right w:val="single" w:color="auto" w:sz="4" w:space="0"/>
                  </w:tcBorders>
                  <w:vAlign w:val="center"/>
                </w:tcPr>
                <w:p>
                  <w:pPr>
                    <w:pStyle w:val="83"/>
                    <w:rPr>
                      <w:rFonts w:hint="default" w:ascii="Times New Roman" w:hAnsi="Times New Roman" w:cs="Times New Roman"/>
                    </w:rPr>
                  </w:pPr>
                  <w:r>
                    <w:rPr>
                      <w:rFonts w:hint="default" w:ascii="Times New Roman" w:hAnsi="Times New Roman" w:cs="Times New Roman"/>
                    </w:rPr>
                    <w:t>加强环境基础设施建设，推进污染集中治理。合理规划园区污水处理方案，实现园区内生产废水全部纳管收集、集中处理和中水回用。优化园区供水结构，充分利用当地疏干水或中水资源，最大程度减少生产用新鲜水取水量。建设足够处理能力的园区高盐水处置工程，2023年底前完成晾晒池存水治理及晾晒池改园区事故水池相关工作。因地制宜利用集中供热或清洁能源实现供热、供汽。强化企业的危险废物鉴别主体责任，对园区各类危险废物实施严格监管和严密监控，实现全过程安全妥善处置。优化固体废物、危险废物处置方式，积极拓展资源化利用途径，提高综合利用率，暂时无法综合利用的须规范贮存、处置,园区内及周边中短途汽车运输优先采用新能源汽车。</w:t>
                  </w:r>
                </w:p>
              </w:tc>
              <w:tc>
                <w:tcPr>
                  <w:tcW w:w="1625" w:type="pct"/>
                  <w:tcBorders>
                    <w:top w:val="single" w:color="auto" w:sz="4" w:space="0"/>
                    <w:left w:val="nil"/>
                    <w:bottom w:val="single" w:color="auto" w:sz="4" w:space="0"/>
                    <w:right w:val="nil"/>
                  </w:tcBorders>
                  <w:vAlign w:val="center"/>
                </w:tcPr>
                <w:p>
                  <w:pPr>
                    <w:pStyle w:val="83"/>
                    <w:rPr>
                      <w:rFonts w:hint="default" w:ascii="Times New Roman" w:hAnsi="Times New Roman" w:cs="Times New Roman"/>
                    </w:rPr>
                  </w:pPr>
                  <w:r>
                    <w:rPr>
                      <w:rFonts w:ascii="Times New Roman" w:hAnsi="Times New Roman" w:cs="Times New Roman"/>
                    </w:rPr>
                    <w:t>本项目生产用水量较少，且生产过程中的废水全部循环利用，不外排；项目供热厂区现有供热措施；项目废水循环池底泥定期清理，回用于生产；设备维护过程中产生的废机油与机油桶暂存在危废库，</w:t>
                  </w:r>
                  <w:r>
                    <w:rPr>
                      <w:rFonts w:ascii="Times New Roman" w:hAnsi="Times New Roman" w:cs="Times New Roman"/>
                      <w:highlight w:val="yellow"/>
                    </w:rPr>
                    <w:t>定期委托有资质单位（</w:t>
                  </w:r>
                  <w:r>
                    <w:rPr>
                      <w:color w:val="000000" w:themeColor="text1"/>
                      <w:highlight w:val="yellow"/>
                      <w14:textFill>
                        <w14:solidFill>
                          <w14:schemeClr w14:val="tx1"/>
                        </w14:solidFill>
                      </w14:textFill>
                    </w:rPr>
                    <w:t>内蒙古忠信再生资源科技有限责任公司</w:t>
                  </w:r>
                  <w:r>
                    <w:rPr>
                      <w:rFonts w:ascii="Times New Roman" w:hAnsi="Times New Roman" w:cs="Times New Roman"/>
                      <w:highlight w:val="yellow"/>
                    </w:rPr>
                    <w:t>）处理（见附件八）。</w:t>
                  </w:r>
                </w:p>
              </w:tc>
              <w:tc>
                <w:tcPr>
                  <w:tcW w:w="291" w:type="pct"/>
                  <w:tcBorders>
                    <w:top w:val="single" w:color="auto" w:sz="4" w:space="0"/>
                    <w:left w:val="single" w:color="auto" w:sz="4" w:space="0"/>
                    <w:bottom w:val="single" w:color="auto" w:sz="4" w:space="0"/>
                    <w:right w:val="nil"/>
                  </w:tcBorders>
                  <w:vAlign w:val="center"/>
                </w:tcPr>
                <w:p>
                  <w:pPr>
                    <w:pStyle w:val="86"/>
                    <w:rPr>
                      <w:rFonts w:hint="default" w:ascii="Times New Roman" w:hAnsi="Times New Roman" w:cs="Times New Roman"/>
                    </w:rPr>
                  </w:pPr>
                  <w:r>
                    <w:rPr>
                      <w:rFonts w:hint="default" w:ascii="Times New Roman" w:hAnsi="Times New Roman" w:cs="Times New Roma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31" w:type="pct"/>
                  <w:tcBorders>
                    <w:top w:val="single" w:color="auto" w:sz="4" w:space="0"/>
                    <w:left w:val="nil"/>
                    <w:bottom w:val="single" w:color="auto" w:sz="4" w:space="0"/>
                    <w:right w:val="single" w:color="auto" w:sz="4" w:space="0"/>
                  </w:tcBorders>
                  <w:vAlign w:val="center"/>
                </w:tcPr>
                <w:p>
                  <w:pPr>
                    <w:pStyle w:val="86"/>
                    <w:rPr>
                      <w:rFonts w:hint="default" w:ascii="Times New Roman" w:hAnsi="Times New Roman" w:cs="Times New Roman"/>
                    </w:rPr>
                  </w:pPr>
                  <w:r>
                    <w:rPr>
                      <w:rFonts w:hint="default" w:ascii="Times New Roman" w:hAnsi="Times New Roman" w:cs="Times New Roman"/>
                    </w:rPr>
                    <w:t>6</w:t>
                  </w:r>
                </w:p>
              </w:tc>
              <w:tc>
                <w:tcPr>
                  <w:tcW w:w="2753" w:type="pct"/>
                  <w:tcBorders>
                    <w:top w:val="single" w:color="auto" w:sz="4" w:space="0"/>
                    <w:left w:val="nil"/>
                    <w:bottom w:val="single" w:color="auto" w:sz="4" w:space="0"/>
                    <w:right w:val="single" w:color="auto" w:sz="4" w:space="0"/>
                  </w:tcBorders>
                  <w:vAlign w:val="center"/>
                </w:tcPr>
                <w:p>
                  <w:pPr>
                    <w:pStyle w:val="83"/>
                    <w:rPr>
                      <w:rFonts w:hint="default" w:ascii="Times New Roman" w:hAnsi="Times New Roman" w:cs="Times New Roman"/>
                    </w:rPr>
                  </w:pPr>
                  <w:r>
                    <w:rPr>
                      <w:rFonts w:hint="default" w:ascii="Times New Roman" w:hAnsi="Times New Roman" w:cs="Times New Roman"/>
                    </w:rPr>
                    <w:t>强化源头防控，有效防范环境污染和事故风险。加强突发环境事件应急处置能力建设，建立完善的环境风险防控和应急监测体系，强化应急演练和应急物资储备，不断提升应急响应能力，保障区域环境安全。入园企业按要求设置事故水池，并与园区事故水池联通形成综合调控系统，确保任何情况下园区事故废水不进入外环境。</w:t>
                  </w:r>
                </w:p>
              </w:tc>
              <w:tc>
                <w:tcPr>
                  <w:tcW w:w="1625" w:type="pct"/>
                  <w:tcBorders>
                    <w:top w:val="single" w:color="auto" w:sz="4" w:space="0"/>
                    <w:left w:val="nil"/>
                    <w:bottom w:val="single" w:color="auto" w:sz="4" w:space="0"/>
                    <w:right w:val="nil"/>
                  </w:tcBorders>
                  <w:vAlign w:val="center"/>
                </w:tcPr>
                <w:p>
                  <w:pPr>
                    <w:pStyle w:val="83"/>
                    <w:rPr>
                      <w:rFonts w:hint="default" w:ascii="Times New Roman" w:hAnsi="Times New Roman" w:cs="Times New Roman"/>
                    </w:rPr>
                  </w:pPr>
                  <w:r>
                    <w:rPr>
                      <w:rFonts w:hint="default" w:ascii="Times New Roman" w:hAnsi="Times New Roman" w:cs="Times New Roman"/>
                    </w:rPr>
                    <w:t>本项目强化源头防控，沉淀池防渗良好，设置</w:t>
                  </w:r>
                  <w:r>
                    <w:rPr>
                      <w:rFonts w:ascii="Times New Roman" w:hAnsi="Times New Roman" w:cs="Times New Roman"/>
                    </w:rPr>
                    <w:t>了8</w:t>
                  </w:r>
                  <w:bookmarkStart w:id="29" w:name="OLE_LINK296"/>
                  <w:bookmarkStart w:id="30" w:name="OLE_LINK297"/>
                  <w:r>
                    <w:rPr>
                      <w:rFonts w:hint="default" w:ascii="Times New Roman" w:hAnsi="Times New Roman" w:cs="Times New Roman"/>
                    </w:rPr>
                    <w:t>0</w:t>
                  </w:r>
                  <w:r>
                    <w:rPr>
                      <w:rFonts w:ascii="Times New Roman" w:hAnsi="Times New Roman" w:cs="Times New Roman"/>
                    </w:rPr>
                    <w:t>m</w:t>
                  </w:r>
                  <w:r>
                    <w:rPr>
                      <w:rFonts w:hint="default" w:ascii="Times New Roman" w:hAnsi="Times New Roman" w:cs="Times New Roman"/>
                      <w:vertAlign w:val="superscript"/>
                    </w:rPr>
                    <w:t>3</w:t>
                  </w:r>
                  <w:r>
                    <w:rPr>
                      <w:rFonts w:ascii="Times New Roman" w:hAnsi="Times New Roman" w:cs="Times New Roman"/>
                    </w:rPr>
                    <w:t>的</w:t>
                  </w:r>
                  <w:r>
                    <w:rPr>
                      <w:rFonts w:hint="default" w:ascii="Times New Roman" w:hAnsi="Times New Roman" w:cs="Times New Roman"/>
                    </w:rPr>
                    <w:t>初期雨水池，</w:t>
                  </w:r>
                  <w:r>
                    <w:rPr>
                      <w:rFonts w:ascii="Times New Roman" w:hAnsi="Times New Roman" w:cs="Times New Roman"/>
                      <w:highlight w:val="yellow"/>
                    </w:rPr>
                    <w:t>已</w:t>
                  </w:r>
                  <w:r>
                    <w:rPr>
                      <w:rFonts w:ascii="Times New Roman" w:hAnsi="Times New Roman" w:cs="Times New Roman"/>
                      <w:bCs/>
                      <w:highlight w:val="yellow"/>
                    </w:rPr>
                    <w:t>编</w:t>
                  </w:r>
                  <w:r>
                    <w:rPr>
                      <w:rFonts w:hint="default" w:ascii="Times New Roman" w:hAnsi="Times New Roman" w:cs="Times New Roman"/>
                      <w:highlight w:val="yellow"/>
                    </w:rPr>
                    <w:t>制</w:t>
                  </w:r>
                  <w:r>
                    <w:rPr>
                      <w:rFonts w:ascii="Times New Roman" w:hAnsi="Times New Roman" w:cs="Times New Roman"/>
                      <w:highlight w:val="yellow"/>
                    </w:rPr>
                    <w:t>了</w:t>
                  </w:r>
                  <w:r>
                    <w:rPr>
                      <w:rFonts w:hint="default" w:ascii="Times New Roman" w:hAnsi="Times New Roman" w:cs="Times New Roman"/>
                      <w:highlight w:val="yellow"/>
                    </w:rPr>
                    <w:t>突发环境事件应急预案，</w:t>
                  </w:r>
                  <w:r>
                    <w:rPr>
                      <w:rFonts w:ascii="Times New Roman" w:hAnsi="Times New Roman" w:cs="Times New Roman"/>
                      <w:highlight w:val="yellow"/>
                    </w:rPr>
                    <w:t>本次技改项目建成后进行</w:t>
                  </w:r>
                  <w:r>
                    <w:rPr>
                      <w:rFonts w:hint="default" w:ascii="Times New Roman" w:hAnsi="Times New Roman" w:cs="Times New Roman"/>
                      <w:highlight w:val="yellow"/>
                    </w:rPr>
                    <w:t>突发环境事件应急预案</w:t>
                  </w:r>
                  <w:r>
                    <w:rPr>
                      <w:rFonts w:ascii="Times New Roman" w:hAnsi="Times New Roman" w:cs="Times New Roman"/>
                      <w:highlight w:val="yellow"/>
                    </w:rPr>
                    <w:t>修编，</w:t>
                  </w:r>
                  <w:r>
                    <w:rPr>
                      <w:rFonts w:hint="default" w:ascii="Times New Roman" w:hAnsi="Times New Roman" w:cs="Times New Roman"/>
                    </w:rPr>
                    <w:t>加强突发环境事件应急处置能力建设，建立完善的环境风险防控和应急监测</w:t>
                  </w:r>
                  <w:bookmarkEnd w:id="29"/>
                  <w:bookmarkEnd w:id="30"/>
                  <w:r>
                    <w:rPr>
                      <w:rFonts w:hint="default" w:ascii="Times New Roman" w:hAnsi="Times New Roman" w:cs="Times New Roman"/>
                    </w:rPr>
                    <w:t>体系，强化应急演练和应急物资储备，不断提升应急响应能力，保障区域环境安全。</w:t>
                  </w:r>
                </w:p>
              </w:tc>
              <w:tc>
                <w:tcPr>
                  <w:tcW w:w="291" w:type="pct"/>
                  <w:tcBorders>
                    <w:top w:val="single" w:color="auto" w:sz="4" w:space="0"/>
                    <w:left w:val="single" w:color="auto" w:sz="4" w:space="0"/>
                    <w:bottom w:val="single" w:color="auto" w:sz="4" w:space="0"/>
                    <w:right w:val="nil"/>
                  </w:tcBorders>
                  <w:vAlign w:val="center"/>
                </w:tcPr>
                <w:p>
                  <w:pPr>
                    <w:pStyle w:val="86"/>
                    <w:rPr>
                      <w:rFonts w:hint="default" w:ascii="Times New Roman" w:hAnsi="Times New Roman" w:cs="Times New Roman"/>
                    </w:rPr>
                  </w:pPr>
                  <w:r>
                    <w:rPr>
                      <w:rFonts w:hint="default" w:ascii="Times New Roman" w:hAnsi="Times New Roman" w:cs="Times New Roma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31" w:type="pct"/>
                  <w:tcBorders>
                    <w:top w:val="single" w:color="auto" w:sz="4" w:space="0"/>
                    <w:left w:val="nil"/>
                    <w:bottom w:val="single" w:color="auto" w:sz="4" w:space="0"/>
                    <w:right w:val="single" w:color="auto" w:sz="4" w:space="0"/>
                  </w:tcBorders>
                  <w:vAlign w:val="center"/>
                </w:tcPr>
                <w:p>
                  <w:pPr>
                    <w:pStyle w:val="86"/>
                    <w:rPr>
                      <w:rFonts w:hint="default" w:ascii="Times New Roman" w:hAnsi="Times New Roman" w:cs="Times New Roman"/>
                    </w:rPr>
                  </w:pPr>
                  <w:r>
                    <w:rPr>
                      <w:rFonts w:hint="default" w:ascii="Times New Roman" w:hAnsi="Times New Roman" w:cs="Times New Roman"/>
                    </w:rPr>
                    <w:t>7</w:t>
                  </w:r>
                </w:p>
              </w:tc>
              <w:tc>
                <w:tcPr>
                  <w:tcW w:w="2753" w:type="pct"/>
                  <w:tcBorders>
                    <w:top w:val="single" w:color="auto" w:sz="4" w:space="0"/>
                    <w:left w:val="nil"/>
                    <w:bottom w:val="single" w:color="auto" w:sz="4" w:space="0"/>
                    <w:right w:val="single" w:color="auto" w:sz="4" w:space="0"/>
                  </w:tcBorders>
                  <w:vAlign w:val="center"/>
                </w:tcPr>
                <w:p>
                  <w:pPr>
                    <w:pStyle w:val="83"/>
                    <w:rPr>
                      <w:rFonts w:hint="default" w:ascii="Times New Roman" w:hAnsi="Times New Roman" w:cs="Times New Roman"/>
                    </w:rPr>
                  </w:pPr>
                  <w:r>
                    <w:rPr>
                      <w:rFonts w:hint="default" w:ascii="Times New Roman" w:hAnsi="Times New Roman" w:cs="Times New Roman"/>
                    </w:rPr>
                    <w:t>加强环境监管及日常环境质量监测。建立包括常规污染物和特征污染物在内的环境空气、地表水、地下水、土壤等环境质量监测体系，做好长期跟踪监测与管理。重点企业排污口要设置在线监测系统并与生态环境部门联网。加强土壤污染重点企业监管，强化腾退企业遗留场地的土壤环境调查和风险评估，合理确定土地利用方式。</w:t>
                  </w:r>
                </w:p>
              </w:tc>
              <w:tc>
                <w:tcPr>
                  <w:tcW w:w="1625" w:type="pct"/>
                  <w:tcBorders>
                    <w:top w:val="single" w:color="auto" w:sz="4" w:space="0"/>
                    <w:left w:val="nil"/>
                    <w:bottom w:val="single" w:color="auto" w:sz="4" w:space="0"/>
                    <w:right w:val="nil"/>
                  </w:tcBorders>
                  <w:vAlign w:val="center"/>
                </w:tcPr>
                <w:p>
                  <w:pPr>
                    <w:pStyle w:val="83"/>
                    <w:rPr>
                      <w:rFonts w:hint="default" w:ascii="Times New Roman" w:hAnsi="Times New Roman" w:cs="Times New Roman"/>
                    </w:rPr>
                  </w:pPr>
                  <w:r>
                    <w:rPr>
                      <w:rFonts w:hint="default" w:ascii="Times New Roman" w:hAnsi="Times New Roman" w:cs="Times New Roman"/>
                    </w:rPr>
                    <w:t>本项目建立废气、废水、噪声等环境质量监测体系，已做好长期跟踪监测与管理，建设单位不属于土壤污染重点企业。</w:t>
                  </w:r>
                </w:p>
              </w:tc>
              <w:tc>
                <w:tcPr>
                  <w:tcW w:w="291" w:type="pct"/>
                  <w:tcBorders>
                    <w:top w:val="single" w:color="auto" w:sz="4" w:space="0"/>
                    <w:left w:val="single" w:color="auto" w:sz="4" w:space="0"/>
                    <w:bottom w:val="single" w:color="auto" w:sz="4" w:space="0"/>
                    <w:right w:val="nil"/>
                  </w:tcBorders>
                  <w:vAlign w:val="center"/>
                </w:tcPr>
                <w:p>
                  <w:pPr>
                    <w:pStyle w:val="86"/>
                    <w:rPr>
                      <w:rFonts w:hint="default" w:ascii="Times New Roman" w:hAnsi="Times New Roman" w:cs="Times New Roman"/>
                    </w:rPr>
                  </w:pPr>
                  <w:r>
                    <w:rPr>
                      <w:rFonts w:hint="default" w:ascii="Times New Roman" w:hAnsi="Times New Roman" w:cs="Times New Roma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31" w:type="pct"/>
                  <w:tcBorders>
                    <w:top w:val="single" w:color="auto" w:sz="4" w:space="0"/>
                    <w:left w:val="nil"/>
                    <w:bottom w:val="single" w:color="auto" w:sz="12" w:space="0"/>
                    <w:right w:val="single" w:color="auto" w:sz="4" w:space="0"/>
                  </w:tcBorders>
                  <w:vAlign w:val="center"/>
                </w:tcPr>
                <w:p>
                  <w:pPr>
                    <w:pStyle w:val="86"/>
                    <w:rPr>
                      <w:rFonts w:hint="default" w:ascii="Times New Roman" w:hAnsi="Times New Roman" w:cs="Times New Roman"/>
                    </w:rPr>
                  </w:pPr>
                  <w:r>
                    <w:rPr>
                      <w:rFonts w:hint="default" w:ascii="Times New Roman" w:hAnsi="Times New Roman" w:cs="Times New Roman"/>
                    </w:rPr>
                    <w:t>8</w:t>
                  </w:r>
                </w:p>
              </w:tc>
              <w:tc>
                <w:tcPr>
                  <w:tcW w:w="2753" w:type="pct"/>
                  <w:tcBorders>
                    <w:top w:val="single" w:color="auto" w:sz="4" w:space="0"/>
                    <w:left w:val="nil"/>
                    <w:bottom w:val="single" w:color="auto" w:sz="12" w:space="0"/>
                    <w:right w:val="single" w:color="auto" w:sz="4" w:space="0"/>
                  </w:tcBorders>
                  <w:vAlign w:val="center"/>
                </w:tcPr>
                <w:p>
                  <w:pPr>
                    <w:pStyle w:val="83"/>
                    <w:rPr>
                      <w:rFonts w:hint="default" w:ascii="Times New Roman" w:hAnsi="Times New Roman" w:cs="Times New Roman"/>
                    </w:rPr>
                  </w:pPr>
                  <w:r>
                    <w:rPr>
                      <w:rFonts w:hint="default" w:ascii="Times New Roman" w:hAnsi="Times New Roman" w:cs="Times New Roman"/>
                    </w:rPr>
                    <w:t>总体规划实施对环境产生重大影响时，应当及时组织环境影响的跟踪评价。对规划所包含的建设项目，在开展环境影响评价时，应重点分析污染防治措施和环境风险防控措施的可行性、可靠性，规划协调性分析、环境现状等工作内容可适当简化。</w:t>
                  </w:r>
                </w:p>
              </w:tc>
              <w:tc>
                <w:tcPr>
                  <w:tcW w:w="1625" w:type="pct"/>
                  <w:tcBorders>
                    <w:top w:val="single" w:color="auto" w:sz="4" w:space="0"/>
                    <w:left w:val="nil"/>
                    <w:bottom w:val="single" w:color="auto" w:sz="12" w:space="0"/>
                    <w:right w:val="nil"/>
                  </w:tcBorders>
                  <w:vAlign w:val="center"/>
                </w:tcPr>
                <w:p>
                  <w:pPr>
                    <w:pStyle w:val="83"/>
                    <w:rPr>
                      <w:rFonts w:hint="default" w:ascii="Times New Roman" w:hAnsi="Times New Roman" w:cs="Times New Roman"/>
                    </w:rPr>
                  </w:pPr>
                  <w:r>
                    <w:rPr>
                      <w:rFonts w:hint="default" w:ascii="Times New Roman" w:hAnsi="Times New Roman" w:cs="Times New Roman"/>
                    </w:rPr>
                    <w:t>本项目属于规划所包含的建设项目，开展环境影响评价时重点分析污染防治措施和环境风险防控措施的可行性、可靠性，适当简化规划协调性分析、环境现状等工作内容。</w:t>
                  </w:r>
                </w:p>
              </w:tc>
              <w:tc>
                <w:tcPr>
                  <w:tcW w:w="291" w:type="pct"/>
                  <w:tcBorders>
                    <w:top w:val="single" w:color="auto" w:sz="4" w:space="0"/>
                    <w:left w:val="single" w:color="auto" w:sz="4" w:space="0"/>
                    <w:bottom w:val="single" w:color="auto" w:sz="12" w:space="0"/>
                    <w:right w:val="nil"/>
                  </w:tcBorders>
                  <w:vAlign w:val="center"/>
                </w:tcPr>
                <w:p>
                  <w:pPr>
                    <w:pStyle w:val="86"/>
                    <w:rPr>
                      <w:rFonts w:hint="default" w:ascii="Times New Roman" w:hAnsi="Times New Roman" w:cs="Times New Roman"/>
                    </w:rPr>
                  </w:pPr>
                  <w:r>
                    <w:rPr>
                      <w:rFonts w:hint="default" w:ascii="Times New Roman" w:hAnsi="Times New Roman" w:cs="Times New Roman"/>
                    </w:rPr>
                    <w:t>符合</w:t>
                  </w:r>
                </w:p>
              </w:tc>
            </w:tr>
          </w:tbl>
          <w:p>
            <w:pPr>
              <w:pStyle w:val="110"/>
              <w:ind w:firstLine="480"/>
            </w:pPr>
            <w:r>
              <w:rPr>
                <w:rFonts w:hint="eastAsia"/>
              </w:rPr>
              <w:t>综上，本项目的建设符合内蒙古鄂尔多斯达拉特经济开发区规划环评的相关要求。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454" w:hRule="atLeast"/>
          <w:jc w:val="center"/>
        </w:trPr>
        <w:tc>
          <w:tcPr>
            <w:tcW w:w="2133" w:type="dxa"/>
            <w:vAlign w:val="center"/>
          </w:tcPr>
          <w:p>
            <w:pPr>
              <w:autoSpaceDE w:val="0"/>
              <w:autoSpaceDN w:val="0"/>
              <w:adjustRightInd w:val="0"/>
              <w:snapToGrid w:val="0"/>
              <w:jc w:val="center"/>
              <w:rPr>
                <w:rFonts w:ascii="Times New Roman" w:hAnsi="Times New Roman" w:eastAsia="宋体" w:cs="Times New Roman"/>
                <w:kern w:val="0"/>
                <w:sz w:val="24"/>
              </w:rPr>
            </w:pPr>
            <w:r>
              <w:rPr>
                <w:rFonts w:ascii="Times New Roman" w:hAnsi="Times New Roman" w:eastAsia="宋体" w:cs="Times New Roman"/>
                <w:kern w:val="0"/>
                <w:sz w:val="24"/>
              </w:rPr>
              <w:t>其他符合性分析</w:t>
            </w:r>
          </w:p>
        </w:tc>
        <w:tc>
          <w:tcPr>
            <w:tcW w:w="6737" w:type="dxa"/>
            <w:gridSpan w:val="3"/>
            <w:vAlign w:val="center"/>
          </w:tcPr>
          <w:p>
            <w:pPr>
              <w:pStyle w:val="92"/>
              <w:numPr>
                <w:ilvl w:val="0"/>
                <w:numId w:val="5"/>
              </w:numPr>
              <w:autoSpaceDE/>
              <w:adjustRightInd/>
              <w:spacing w:before="120"/>
              <w:rPr>
                <w:rFonts w:hint="default" w:ascii="Times New Roman" w:hAnsi="Times New Roman" w:cs="Times New Roman"/>
                <w:color w:val="auto"/>
              </w:rPr>
            </w:pPr>
            <w:bookmarkStart w:id="31" w:name="OLE_LINK700"/>
            <w:bookmarkStart w:id="32" w:name="OLE_LINK699"/>
            <w:r>
              <w:rPr>
                <w:rFonts w:ascii="Times New Roman" w:hAnsi="Times New Roman" w:cs="Times New Roman"/>
                <w:color w:val="auto"/>
              </w:rPr>
              <w:t>产业政策符合性分析</w:t>
            </w:r>
          </w:p>
          <w:p>
            <w:pPr>
              <w:pStyle w:val="82"/>
              <w:rPr>
                <w:rFonts w:hint="default" w:ascii="Times New Roman" w:hAnsi="Times New Roman" w:cs="Times New Roman"/>
              </w:rPr>
            </w:pPr>
            <w:r>
              <w:rPr>
                <w:rFonts w:ascii="Times New Roman" w:hAnsi="Times New Roman" w:cs="Times New Roman"/>
              </w:rPr>
              <w:t>本项目为工业固废的综合利用，根据中华人民共和国国家发展和改革委员会颁布的《产业结构调整指导目录（2024年本）》，本项目属于鼓励类中的“四十二、环境保护与资源节约综合利用，8、废弃物循环利用：煤矸石、粉煤灰、尾矿（共伴生矿）、冶炼渣、工业副产石膏、赤泥、建筑垃圾等工业废弃物循环利用，以及10、“三废”综合利用与治理技术、装备和工程”</w:t>
            </w:r>
            <w:r>
              <w:t>，</w:t>
            </w:r>
            <w:r>
              <w:rPr>
                <w:rFonts w:ascii="Times New Roman" w:hAnsi="Times New Roman" w:cs="Times New Roman"/>
              </w:rPr>
              <w:t>因此项目的建设符合产业政策。</w:t>
            </w:r>
          </w:p>
          <w:p>
            <w:pPr>
              <w:pStyle w:val="82"/>
              <w:rPr>
                <w:rFonts w:hint="default" w:ascii="Times New Roman" w:hAnsi="Times New Roman" w:cs="Times New Roman"/>
              </w:rPr>
            </w:pPr>
            <w:r>
              <w:rPr>
                <w:rFonts w:ascii="Times New Roman" w:hAnsi="Times New Roman" w:cs="Times New Roman"/>
              </w:rPr>
              <w:t>同时项目于2025年9月11日取得达拉特旗工信和科技局出具的《项目备案告知书》（项目编号：2509-150621-07-01-987707），同意该项目建设（立项文件见附件2）。综上所述，本项目的建设符合国家及地方产业政策。</w:t>
            </w:r>
          </w:p>
          <w:p>
            <w:pPr>
              <w:pStyle w:val="92"/>
              <w:numPr>
                <w:ilvl w:val="0"/>
                <w:numId w:val="5"/>
              </w:numPr>
              <w:spacing w:before="120"/>
              <w:rPr>
                <w:rFonts w:hint="default" w:ascii="Times New Roman" w:hAnsi="Times New Roman" w:cs="Times New Roman"/>
                <w:color w:val="auto"/>
              </w:rPr>
            </w:pPr>
            <w:r>
              <w:rPr>
                <w:rFonts w:ascii="Times New Roman" w:hAnsi="Times New Roman" w:cs="Times New Roman"/>
                <w:color w:val="auto"/>
              </w:rPr>
              <w:t>选址合理性分析</w:t>
            </w:r>
          </w:p>
          <w:p>
            <w:pPr>
              <w:pStyle w:val="92"/>
              <w:numPr>
                <w:ilvl w:val="0"/>
                <w:numId w:val="0"/>
              </w:numPr>
              <w:spacing w:before="120"/>
              <w:ind w:firstLine="480" w:firstLineChars="200"/>
              <w:rPr>
                <w:rFonts w:hint="default" w:ascii="Times New Roman" w:hAnsi="Times New Roman" w:cs="Times New Roman"/>
                <w:b w:val="0"/>
                <w:bCs w:val="0"/>
              </w:rPr>
            </w:pPr>
            <w:r>
              <w:rPr>
                <w:rFonts w:ascii="Times New Roman" w:hAnsi="Times New Roman" w:cs="Times New Roman"/>
                <w:b w:val="0"/>
                <w:bCs w:val="0"/>
                <w:color w:val="FF0000"/>
              </w:rPr>
              <w:t>本项目</w:t>
            </w:r>
            <w:r>
              <w:rPr>
                <w:rFonts w:ascii="Times New Roman" w:hAnsi="Times New Roman" w:cs="Times New Roman"/>
                <w:b w:val="0"/>
                <w:bCs w:val="0"/>
              </w:rPr>
              <w:t>位于</w:t>
            </w:r>
            <w:bookmarkStart w:id="33" w:name="_Hlk201586779"/>
            <w:r>
              <w:rPr>
                <w:rFonts w:ascii="Times New Roman" w:hAnsi="Times New Roman" w:cs="Times New Roman"/>
                <w:b w:val="0"/>
                <w:bCs w:val="0"/>
              </w:rPr>
              <w:t>内蒙古鄂尔多斯达拉特经济开发区达拉特产业园三垧梁工业片区、内蒙古晟能能源有限责任公司现有厂区内</w:t>
            </w:r>
            <w:bookmarkEnd w:id="33"/>
            <w:r>
              <w:rPr>
                <w:rFonts w:ascii="Times New Roman" w:hAnsi="Times New Roman" w:cs="Times New Roman"/>
                <w:b w:val="0"/>
                <w:bCs w:val="0"/>
              </w:rPr>
              <w:t>，属技改项目，无新增占地。项目符合园区产业定位、产业布局要求，且位于园区用地规划中工业用地，项目评价范围内无自然保护区、风景名胜区、文物保护单位、无珍稀植物及古树名木，不在饮用水水源保护区范围内，本项目建设不存在重大环境制约因素。</w:t>
            </w:r>
          </w:p>
          <w:p>
            <w:pPr>
              <w:pStyle w:val="81"/>
              <w:ind w:firstLine="480"/>
              <w:rPr>
                <w:bCs/>
                <w:snapToGrid w:val="0"/>
              </w:rPr>
            </w:pPr>
            <w:r>
              <w:rPr>
                <w:bCs/>
                <w:highlight w:val="yellow"/>
              </w:rPr>
              <w:t>项目</w:t>
            </w:r>
            <w:r>
              <w:rPr>
                <w:rFonts w:hint="eastAsia"/>
                <w:bCs/>
                <w:highlight w:val="yellow"/>
              </w:rPr>
              <w:t>运营后废气产生较小，忽略不计；生产废水循环使用，不外排</w:t>
            </w:r>
            <w:r>
              <w:rPr>
                <w:bCs/>
              </w:rPr>
              <w:t>；噪声经有效治理后可以做到厂界达标排放；</w:t>
            </w:r>
            <w:r>
              <w:rPr>
                <w:rFonts w:hint="eastAsia"/>
                <w:bCs/>
                <w:snapToGrid w:val="0"/>
              </w:rPr>
              <w:t>废机油、废机油桶暂存于危废暂存间，定期交由有资质单位处理。采取上述环境措施后，项目对</w:t>
            </w:r>
            <w:r>
              <w:rPr>
                <w:bCs/>
                <w:snapToGrid w:val="0"/>
              </w:rPr>
              <w:t>周边环境产生影响</w:t>
            </w:r>
            <w:r>
              <w:rPr>
                <w:rFonts w:hint="eastAsia"/>
                <w:bCs/>
                <w:snapToGrid w:val="0"/>
              </w:rPr>
              <w:t>较小。</w:t>
            </w:r>
          </w:p>
          <w:p>
            <w:pPr>
              <w:pStyle w:val="81"/>
              <w:ind w:firstLine="480"/>
              <w:rPr>
                <w:bCs/>
                <w:snapToGrid w:val="0"/>
              </w:rPr>
            </w:pPr>
            <w:r>
              <w:rPr>
                <w:bCs/>
                <w:snapToGrid w:val="0"/>
              </w:rPr>
              <w:t>综上所述，从项目特点</w:t>
            </w:r>
            <w:r>
              <w:rPr>
                <w:rFonts w:hint="eastAsia"/>
                <w:bCs/>
                <w:snapToGrid w:val="0"/>
              </w:rPr>
              <w:t>、</w:t>
            </w:r>
            <w:r>
              <w:rPr>
                <w:bCs/>
                <w:snapToGrid w:val="0"/>
              </w:rPr>
              <w:t>所处地理位置和周围环境</w:t>
            </w:r>
            <w:r>
              <w:rPr>
                <w:rFonts w:hint="eastAsia"/>
                <w:bCs/>
                <w:snapToGrid w:val="0"/>
              </w:rPr>
              <w:t>、环境影响程度</w:t>
            </w:r>
            <w:r>
              <w:rPr>
                <w:bCs/>
                <w:snapToGrid w:val="0"/>
              </w:rPr>
              <w:t>分析，本项目选址是合理可行的。</w:t>
            </w:r>
          </w:p>
          <w:p>
            <w:pPr>
              <w:pStyle w:val="92"/>
              <w:numPr>
                <w:ilvl w:val="0"/>
                <w:numId w:val="0"/>
              </w:numPr>
              <w:spacing w:before="120"/>
              <w:rPr>
                <w:rFonts w:hint="default" w:ascii="Times New Roman" w:hAnsi="Times New Roman" w:cs="Times New Roman"/>
                <w:color w:val="auto"/>
              </w:rPr>
            </w:pPr>
            <w:r>
              <w:rPr>
                <w:rFonts w:hint="default" w:ascii="Times New Roman" w:hAnsi="Times New Roman" w:cs="Times New Roman"/>
              </w:rPr>
              <w:t>3.</w:t>
            </w:r>
            <w:r>
              <w:t>生态环境分区管控</w:t>
            </w:r>
            <w:bookmarkEnd w:id="31"/>
            <w:bookmarkEnd w:id="32"/>
            <w:r>
              <w:rPr>
                <w:rFonts w:hint="default" w:ascii="Times New Roman" w:hAnsi="Times New Roman" w:cs="Times New Roman"/>
                <w:color w:val="auto"/>
              </w:rPr>
              <w:t>符合性分析</w:t>
            </w:r>
          </w:p>
          <w:p>
            <w:pPr>
              <w:pStyle w:val="94"/>
              <w:numPr>
                <w:ilvl w:val="0"/>
                <w:numId w:val="6"/>
              </w:numPr>
              <w:rPr>
                <w:rFonts w:ascii="Times New Roman" w:hAnsi="Times New Roman" w:cs="Times New Roman"/>
                <w:color w:val="auto"/>
              </w:rPr>
            </w:pPr>
            <w:r>
              <w:rPr>
                <w:rFonts w:ascii="Times New Roman" w:hAnsi="Times New Roman" w:cs="Times New Roman"/>
                <w:color w:val="auto"/>
              </w:rPr>
              <w:t>生态保护红线</w:t>
            </w:r>
          </w:p>
          <w:p>
            <w:pPr>
              <w:pStyle w:val="110"/>
              <w:ind w:firstLine="480"/>
              <w:rPr>
                <w:rFonts w:cs="Times New Roman"/>
              </w:rPr>
            </w:pPr>
            <w:r>
              <w:rPr>
                <w:rFonts w:cs="Times New Roman"/>
              </w:rPr>
              <w:t>根据2024年8月6日鄂尔多斯市生态环境局关于印发《鄂尔多斯市生态环境分区管控动态更新成果（2023年版）》的通知，调整后，全市划分优先保护、重点管控、一般管控3类，共171个环境管控单元，其中，优先保护单元76个，面积占比64.35%；重点管控单元86个，面积占比28.10%；一般管控单元9个，面积占比7.56%。</w:t>
            </w:r>
          </w:p>
          <w:p>
            <w:pPr>
              <w:pStyle w:val="110"/>
              <w:ind w:firstLine="480"/>
              <w:rPr>
                <w:rFonts w:cs="Times New Roman"/>
                <w:szCs w:val="24"/>
              </w:rPr>
            </w:pPr>
            <w:r>
              <w:rPr>
                <w:rFonts w:cs="Times New Roman"/>
              </w:rPr>
              <w:t>本项目位于重点管控单元，</w:t>
            </w:r>
            <w:r>
              <w:rPr>
                <w:rFonts w:hint="eastAsia" w:cs="Times New Roman"/>
              </w:rPr>
              <w:t>环境管控单元名称为内蒙古达拉特经济开发区（编码为</w:t>
            </w:r>
            <w:r>
              <w:rPr>
                <w:rFonts w:cs="Times New Roman"/>
              </w:rPr>
              <w:t>ZH15062120009</w:t>
            </w:r>
            <w:r>
              <w:rPr>
                <w:rFonts w:hint="eastAsia" w:cs="Times New Roman"/>
              </w:rPr>
              <w:t>）</w:t>
            </w:r>
            <w:r>
              <w:rPr>
                <w:rFonts w:cs="Times New Roman"/>
              </w:rPr>
              <w:t>，</w:t>
            </w:r>
            <w:r>
              <w:rPr>
                <w:rFonts w:hint="eastAsia" w:cs="Times New Roman"/>
                <w:szCs w:val="24"/>
              </w:rPr>
              <w:t>本项目选址不在自然保护区、风景名胜区、饮用水水源保护区及其他需要特殊保护的区域范围内，在落实报告提出的各项防治措施及风险防控措施后，不会对周边环境造成影响。因此，本项目的建设符合生态保护红线的要求。</w:t>
            </w:r>
          </w:p>
          <w:p>
            <w:pPr>
              <w:pStyle w:val="94"/>
              <w:rPr>
                <w:rFonts w:ascii="Times New Roman" w:hAnsi="Times New Roman" w:cs="Times New Roman"/>
                <w:color w:val="auto"/>
              </w:rPr>
            </w:pPr>
            <w:r>
              <w:rPr>
                <w:rFonts w:ascii="Times New Roman" w:hAnsi="Times New Roman" w:cs="Times New Roman"/>
                <w:color w:val="auto"/>
              </w:rPr>
              <w:t>资源利用上线</w:t>
            </w:r>
          </w:p>
          <w:p>
            <w:pPr>
              <w:pStyle w:val="82"/>
              <w:rPr>
                <w:rStyle w:val="99"/>
                <w:rFonts w:hint="default" w:ascii="Times New Roman" w:hAnsi="Times New Roman" w:cs="Times New Roman"/>
              </w:rPr>
            </w:pPr>
            <w:r>
              <w:rPr>
                <w:rFonts w:hint="default" w:ascii="Times New Roman" w:hAnsi="Times New Roman" w:cs="Times New Roman"/>
              </w:rPr>
              <w:t>本项目运营过程中消耗一定量的电源、水资源等资源，项目资源消耗量相对区域资源利用总量较少，符合资源利用上线的要求。本项目厂址位于内蒙古鄂尔多斯达拉特经济开发区，用地性质属于工业用地，土地资源消耗符合要求。因此，本项目的资源利用不会</w:t>
            </w:r>
            <w:r>
              <w:rPr>
                <w:rStyle w:val="99"/>
                <w:rFonts w:hint="default" w:ascii="Times New Roman" w:hAnsi="Times New Roman" w:cs="Times New Roman"/>
              </w:rPr>
              <w:t>超出当地资源利用上线，满足相关要求。</w:t>
            </w:r>
          </w:p>
          <w:p>
            <w:pPr>
              <w:pStyle w:val="94"/>
              <w:rPr>
                <w:rFonts w:ascii="Times New Roman" w:hAnsi="Times New Roman" w:cs="Times New Roman"/>
                <w:color w:val="auto"/>
              </w:rPr>
            </w:pPr>
            <w:r>
              <w:rPr>
                <w:rStyle w:val="97"/>
                <w:rFonts w:ascii="Times New Roman" w:hAnsi="Times New Roman" w:cs="Times New Roman"/>
                <w:b/>
                <w:bCs/>
                <w:color w:val="auto"/>
              </w:rPr>
              <w:t>环境质量底线</w:t>
            </w:r>
          </w:p>
          <w:p>
            <w:pPr>
              <w:pStyle w:val="82"/>
              <w:rPr>
                <w:rFonts w:hint="default" w:ascii="Times New Roman" w:hAnsi="Times New Roman" w:cs="Times New Roman"/>
              </w:rPr>
            </w:pPr>
            <w:r>
              <w:rPr>
                <w:rFonts w:hint="default" w:ascii="Times New Roman" w:hAnsi="Times New Roman" w:cs="Times New Roman"/>
              </w:rPr>
              <w:t>根据《2024年内蒙古自治区生态环境状况公报》，项目所在区域鄂尔多斯市2024年各项基本因子的评价指标均满足《环境空气质量标准》（GB3095-2012）中二级标准限值，项目所在区域为环境空气质量达标区。结合引用的现状监测数据可知，评价范围内环境空气特征污染物现状监测因子指标均满足相应的标准限值，各要素环境质量现状符合其相应的环境功能区划要求。</w:t>
            </w:r>
          </w:p>
          <w:p>
            <w:pPr>
              <w:pStyle w:val="82"/>
              <w:rPr>
                <w:rFonts w:hint="default" w:ascii="Times New Roman" w:hAnsi="Times New Roman" w:cs="Times New Roman"/>
              </w:rPr>
            </w:pPr>
            <w:r>
              <w:rPr>
                <w:rFonts w:hint="default" w:ascii="Times New Roman" w:hAnsi="Times New Roman" w:cs="Times New Roman"/>
              </w:rPr>
              <w:t>本项目运营期过程中</w:t>
            </w:r>
            <w:r>
              <w:rPr>
                <w:rFonts w:ascii="Times New Roman" w:hAnsi="Times New Roman" w:cs="Times New Roman"/>
              </w:rPr>
              <w:t>不产生废气；生产废水循环使用不外排</w:t>
            </w:r>
            <w:r>
              <w:rPr>
                <w:rFonts w:hint="default" w:ascii="Times New Roman" w:hAnsi="Times New Roman" w:cs="Times New Roman"/>
              </w:rPr>
              <w:t>；产生的固体废物定期进行了合理的处置。因此，在落实本评价提出的各项相关污染防治措施后，项目的各类污染物均能有效处理，不会明显降低所在区域的环境质量现状，不会对当地环境质量底线造成冲击，不会突破区域环境质量底线。</w:t>
            </w:r>
          </w:p>
          <w:p>
            <w:pPr>
              <w:pStyle w:val="94"/>
              <w:rPr>
                <w:rFonts w:ascii="Times New Roman" w:hAnsi="Times New Roman" w:cs="Times New Roman"/>
                <w:color w:val="auto"/>
              </w:rPr>
            </w:pPr>
            <w:r>
              <w:rPr>
                <w:rFonts w:ascii="Times New Roman" w:hAnsi="Times New Roman" w:cs="Times New Roman"/>
                <w:color w:val="auto"/>
              </w:rPr>
              <w:t>生态环境准入清单</w:t>
            </w:r>
          </w:p>
          <w:p>
            <w:pPr>
              <w:pStyle w:val="82"/>
              <w:rPr>
                <w:rFonts w:hint="default" w:ascii="Times New Roman" w:hAnsi="Times New Roman" w:cs="Times New Roman"/>
              </w:rPr>
            </w:pPr>
            <w:r>
              <w:rPr>
                <w:rFonts w:hint="default" w:ascii="Times New Roman" w:hAnsi="Times New Roman" w:cs="Times New Roman"/>
              </w:rPr>
              <w:t>根据</w:t>
            </w:r>
            <w:r>
              <w:rPr>
                <w:rFonts w:ascii="Times New Roman" w:hAnsi="Times New Roman" w:cs="Times New Roman"/>
              </w:rPr>
              <w:t>《鄂尔多斯市生态环境分区管控动态更新成果（2023年版）》</w:t>
            </w:r>
            <w:r>
              <w:rPr>
                <w:rFonts w:hint="default" w:ascii="Times New Roman" w:hAnsi="Times New Roman" w:cs="Times New Roman"/>
              </w:rPr>
              <w:t>，本项目位于内蒙古达拉特经济开发区，管控单元编码ZH15062120009，本项目与单元管控要求符合性分析见表1-2。</w:t>
            </w:r>
          </w:p>
          <w:p>
            <w:pPr>
              <w:pStyle w:val="57"/>
              <w:adjustRightInd w:val="0"/>
              <w:snapToGrid w:val="0"/>
              <w:spacing w:after="0"/>
              <w:jc w:val="center"/>
              <w:rPr>
                <w:rFonts w:ascii="Times New Roman" w:hAnsi="Times New Roman"/>
                <w:b/>
                <w:bCs/>
                <w:sz w:val="24"/>
                <w:lang w:eastAsia="zh-CN"/>
              </w:rPr>
            </w:pPr>
            <w:r>
              <w:rPr>
                <w:rFonts w:ascii="Times New Roman" w:hAnsi="Times New Roman"/>
                <w:b/>
                <w:sz w:val="24"/>
                <w:szCs w:val="24"/>
                <w:lang w:eastAsia="zh-CN"/>
              </w:rPr>
              <w:t>表1-2</w:t>
            </w:r>
            <w:r>
              <w:rPr>
                <w:rFonts w:hint="eastAsia" w:ascii="Times New Roman" w:hAnsi="Times New Roman"/>
                <w:b/>
                <w:bCs/>
                <w:sz w:val="24"/>
                <w:lang w:eastAsia="zh-CN"/>
              </w:rPr>
              <w:t>与单元管控要求符合性分析</w:t>
            </w:r>
          </w:p>
          <w:tbl>
            <w:tblPr>
              <w:tblStyle w:val="23"/>
              <w:tblW w:w="13289"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63"/>
              <w:gridCol w:w="2835"/>
              <w:gridCol w:w="2823"/>
              <w:gridCol w:w="692"/>
              <w:gridCol w:w="3288"/>
              <w:gridCol w:w="328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198" w:type="dxa"/>
                  <w:gridSpan w:val="2"/>
                  <w:shd w:val="clear" w:color="auto" w:fill="auto"/>
                  <w:noWrap/>
                  <w:vAlign w:val="center"/>
                </w:tcPr>
                <w:p>
                  <w:pPr>
                    <w:pStyle w:val="89"/>
                    <w:rPr>
                      <w:rFonts w:hint="default" w:ascii="Times New Roman" w:hAnsi="Times New Roman" w:cs="Times New Roman"/>
                      <w:color w:val="auto"/>
                      <w:sz w:val="21"/>
                    </w:rPr>
                  </w:pPr>
                  <w:r>
                    <w:rPr>
                      <w:rFonts w:hint="default" w:ascii="Times New Roman" w:hAnsi="Times New Roman" w:cs="Times New Roman"/>
                      <w:color w:val="auto"/>
                      <w:sz w:val="21"/>
                    </w:rPr>
                    <w:t>管控要求</w:t>
                  </w:r>
                </w:p>
              </w:tc>
              <w:tc>
                <w:tcPr>
                  <w:tcW w:w="2823" w:type="dxa"/>
                  <w:shd w:val="clear" w:color="auto" w:fill="auto"/>
                  <w:noWrap/>
                  <w:vAlign w:val="center"/>
                </w:tcPr>
                <w:p>
                  <w:pPr>
                    <w:pStyle w:val="89"/>
                    <w:rPr>
                      <w:rFonts w:hint="default" w:ascii="Times New Roman" w:hAnsi="Times New Roman" w:cs="Times New Roman"/>
                      <w:color w:val="auto"/>
                      <w:sz w:val="21"/>
                    </w:rPr>
                  </w:pPr>
                  <w:r>
                    <w:rPr>
                      <w:rFonts w:hint="default" w:ascii="Times New Roman" w:hAnsi="Times New Roman" w:cs="Times New Roman"/>
                      <w:color w:val="auto"/>
                      <w:sz w:val="21"/>
                    </w:rPr>
                    <w:t>本项目符合性分析</w:t>
                  </w:r>
                </w:p>
              </w:tc>
              <w:tc>
                <w:tcPr>
                  <w:tcW w:w="692" w:type="dxa"/>
                </w:tcPr>
                <w:p>
                  <w:pPr>
                    <w:pStyle w:val="89"/>
                    <w:rPr>
                      <w:rFonts w:hint="default" w:ascii="Times New Roman" w:hAnsi="Times New Roman" w:cs="Times New Roman"/>
                      <w:color w:val="auto"/>
                      <w:sz w:val="21"/>
                    </w:rPr>
                  </w:pPr>
                  <w:r>
                    <w:rPr>
                      <w:rFonts w:hint="default" w:ascii="Times New Roman" w:hAnsi="Times New Roman" w:cs="Times New Roman"/>
                      <w:color w:val="auto"/>
                      <w:sz w:val="21"/>
                    </w:rPr>
                    <w:t>符合性</w:t>
                  </w:r>
                </w:p>
              </w:tc>
              <w:tc>
                <w:tcPr>
                  <w:tcW w:w="3288" w:type="dxa"/>
                </w:tcPr>
                <w:p>
                  <w:pPr>
                    <w:pStyle w:val="83"/>
                    <w:rPr>
                      <w:rFonts w:hint="default" w:ascii="Times New Roman" w:hAnsi="Times New Roman" w:cs="Times New Roman"/>
                    </w:rPr>
                  </w:pPr>
                </w:p>
              </w:tc>
              <w:tc>
                <w:tcPr>
                  <w:tcW w:w="3288" w:type="dxa"/>
                </w:tcPr>
                <w:p>
                  <w:pPr>
                    <w:pStyle w:val="83"/>
                    <w:rPr>
                      <w:rFonts w:hint="default" w:ascii="Times New Roman" w:hAnsi="Times New Roman" w:cs="Times New Roma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63" w:type="dxa"/>
                  <w:shd w:val="clear" w:color="auto" w:fill="auto"/>
                  <w:noWrap/>
                  <w:vAlign w:val="center"/>
                </w:tcPr>
                <w:p>
                  <w:pPr>
                    <w:pStyle w:val="84"/>
                  </w:pPr>
                  <w:r>
                    <w:t>空间布局约束</w:t>
                  </w:r>
                </w:p>
              </w:tc>
              <w:tc>
                <w:tcPr>
                  <w:tcW w:w="2835" w:type="dxa"/>
                  <w:shd w:val="clear" w:color="auto" w:fill="auto"/>
                  <w:noWrap/>
                  <w:vAlign w:val="center"/>
                </w:tcPr>
                <w:p>
                  <w:pPr>
                    <w:pStyle w:val="83"/>
                    <w:rPr>
                      <w:rFonts w:hint="default" w:ascii="Times New Roman" w:hAnsi="Times New Roman" w:cs="Times New Roman"/>
                    </w:rPr>
                  </w:pPr>
                  <w:r>
                    <w:rPr>
                      <w:rFonts w:hint="default" w:ascii="Times New Roman" w:hAnsi="Times New Roman" w:cs="Times New Roman"/>
                    </w:rPr>
                    <w:t>1.</w:t>
                  </w:r>
                  <w:r>
                    <w:rPr>
                      <w:rFonts w:ascii="Times New Roman" w:hAnsi="Times New Roman" w:cs="Times New Roman"/>
                    </w:rPr>
                    <w:t>禁止在黄河干支流岸线管控范围内(黄河干流鄂尔多斯段和本市行政区域内黄河支流)新建、扩建化工园区和化工项目</w:t>
                  </w:r>
                  <w:r>
                    <w:rPr>
                      <w:rFonts w:hint="default" w:ascii="Times New Roman" w:hAnsi="Times New Roman" w:cs="Times New Roman"/>
                    </w:rPr>
                    <w:t>。</w:t>
                  </w:r>
                </w:p>
              </w:tc>
              <w:tc>
                <w:tcPr>
                  <w:tcW w:w="2823" w:type="dxa"/>
                  <w:shd w:val="clear" w:color="auto" w:fill="auto"/>
                  <w:noWrap/>
                  <w:vAlign w:val="center"/>
                </w:tcPr>
                <w:p>
                  <w:pPr>
                    <w:pStyle w:val="83"/>
                    <w:rPr>
                      <w:rFonts w:hint="default" w:ascii="Times New Roman" w:hAnsi="Times New Roman" w:cs="Times New Roman"/>
                    </w:rPr>
                  </w:pPr>
                  <w:r>
                    <w:rPr>
                      <w:rFonts w:hint="default" w:ascii="Times New Roman" w:hAnsi="Times New Roman" w:cs="Times New Roman"/>
                    </w:rPr>
                    <w:t>达拉特产业园为以能源化工(煤电、新能源、化工)和新材料为主导产业，巩固提升以主导产业延链、补链及固废综合利用为主的循环经济产业的园区。本项目属于以固废综合利用产业为主的循环经济产业，符合园区产业定位</w:t>
                  </w:r>
                  <w:r>
                    <w:rPr>
                      <w:rFonts w:ascii="Times New Roman" w:hAnsi="Times New Roman" w:cs="Times New Roman"/>
                    </w:rPr>
                    <w:t>。</w:t>
                  </w:r>
                </w:p>
              </w:tc>
              <w:tc>
                <w:tcPr>
                  <w:tcW w:w="692" w:type="dxa"/>
                  <w:vAlign w:val="center"/>
                </w:tcPr>
                <w:p>
                  <w:pPr>
                    <w:pStyle w:val="83"/>
                    <w:jc w:val="center"/>
                    <w:rPr>
                      <w:rFonts w:hint="default" w:ascii="Times New Roman" w:hAnsi="Times New Roman" w:cs="Times New Roman"/>
                    </w:rPr>
                  </w:pPr>
                  <w:r>
                    <w:rPr>
                      <w:rFonts w:hint="default" w:ascii="Times New Roman" w:hAnsi="Times New Roman" w:cs="Times New Roman"/>
                    </w:rPr>
                    <w:t>符合</w:t>
                  </w:r>
                </w:p>
              </w:tc>
              <w:tc>
                <w:tcPr>
                  <w:tcW w:w="3288" w:type="dxa"/>
                </w:tcPr>
                <w:p>
                  <w:pPr>
                    <w:pStyle w:val="83"/>
                    <w:rPr>
                      <w:rFonts w:hint="default" w:ascii="Times New Roman" w:hAnsi="Times New Roman" w:cs="Times New Roman"/>
                    </w:rPr>
                  </w:pPr>
                </w:p>
              </w:tc>
              <w:tc>
                <w:tcPr>
                  <w:tcW w:w="3288" w:type="dxa"/>
                </w:tcPr>
                <w:p>
                  <w:pPr>
                    <w:pStyle w:val="83"/>
                    <w:rPr>
                      <w:rFonts w:hint="default" w:ascii="Times New Roman" w:hAnsi="Times New Roman" w:cs="Times New Roma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63" w:type="dxa"/>
                  <w:vMerge w:val="restart"/>
                  <w:shd w:val="clear" w:color="auto" w:fill="auto"/>
                  <w:noWrap/>
                  <w:vAlign w:val="center"/>
                </w:tcPr>
                <w:p>
                  <w:pPr>
                    <w:pStyle w:val="84"/>
                  </w:pPr>
                  <w:r>
                    <w:t>污染物排放管控</w:t>
                  </w:r>
                </w:p>
              </w:tc>
              <w:tc>
                <w:tcPr>
                  <w:tcW w:w="2835" w:type="dxa"/>
                  <w:shd w:val="clear" w:color="auto" w:fill="auto"/>
                  <w:noWrap/>
                  <w:vAlign w:val="center"/>
                </w:tcPr>
                <w:p>
                  <w:pPr>
                    <w:pStyle w:val="83"/>
                    <w:rPr>
                      <w:rFonts w:hint="default" w:ascii="Times New Roman" w:hAnsi="Times New Roman" w:cs="Times New Roman"/>
                    </w:rPr>
                  </w:pPr>
                  <w:r>
                    <w:rPr>
                      <w:rFonts w:ascii="Times New Roman" w:hAnsi="Times New Roman" w:cs="Times New Roman"/>
                    </w:rPr>
                    <w:t>1.区内有色(不含氧化铝)、化工等重点行业以及每小时65蒸吨及以上燃煤锅炉执行大气污染物特别排放限值。</w:t>
                  </w:r>
                </w:p>
              </w:tc>
              <w:tc>
                <w:tcPr>
                  <w:tcW w:w="2823" w:type="dxa"/>
                  <w:shd w:val="clear" w:color="auto" w:fill="auto"/>
                  <w:noWrap/>
                  <w:vAlign w:val="center"/>
                </w:tcPr>
                <w:p>
                  <w:pPr>
                    <w:pStyle w:val="83"/>
                    <w:rPr>
                      <w:rFonts w:hint="default" w:ascii="Times New Roman" w:hAnsi="Times New Roman" w:cs="Times New Roman"/>
                    </w:rPr>
                  </w:pPr>
                  <w:bookmarkStart w:id="34" w:name="OLE_LINK698"/>
                  <w:bookmarkStart w:id="35" w:name="OLE_LINK697"/>
                  <w:r>
                    <w:rPr>
                      <w:rFonts w:hint="default" w:ascii="Times New Roman" w:hAnsi="Times New Roman" w:cs="Times New Roman"/>
                    </w:rPr>
                    <w:t>本项目不涉及。</w:t>
                  </w:r>
                  <w:bookmarkEnd w:id="34"/>
                  <w:bookmarkEnd w:id="35"/>
                </w:p>
              </w:tc>
              <w:tc>
                <w:tcPr>
                  <w:tcW w:w="692" w:type="dxa"/>
                  <w:vAlign w:val="center"/>
                </w:tcPr>
                <w:p>
                  <w:pPr>
                    <w:pStyle w:val="83"/>
                    <w:jc w:val="center"/>
                    <w:rPr>
                      <w:rFonts w:hint="default" w:ascii="Times New Roman" w:hAnsi="Times New Roman" w:cs="Times New Roman"/>
                    </w:rPr>
                  </w:pPr>
                  <w:r>
                    <w:rPr>
                      <w:rFonts w:hint="default" w:ascii="Times New Roman" w:hAnsi="Times New Roman" w:cs="Times New Roman"/>
                    </w:rPr>
                    <w:t>符合</w:t>
                  </w:r>
                </w:p>
              </w:tc>
              <w:tc>
                <w:tcPr>
                  <w:tcW w:w="3288" w:type="dxa"/>
                </w:tcPr>
                <w:p>
                  <w:pPr>
                    <w:pStyle w:val="83"/>
                    <w:rPr>
                      <w:rFonts w:hint="default" w:ascii="Times New Roman" w:hAnsi="Times New Roman" w:cs="Times New Roman"/>
                    </w:rPr>
                  </w:pPr>
                </w:p>
              </w:tc>
              <w:tc>
                <w:tcPr>
                  <w:tcW w:w="3288" w:type="dxa"/>
                </w:tcPr>
                <w:p>
                  <w:pPr>
                    <w:pStyle w:val="83"/>
                    <w:rPr>
                      <w:rFonts w:hint="default" w:ascii="Times New Roman" w:hAnsi="Times New Roman" w:cs="Times New Roma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63" w:type="dxa"/>
                  <w:vMerge w:val="continue"/>
                  <w:vAlign w:val="center"/>
                </w:tcPr>
                <w:p>
                  <w:pPr>
                    <w:pStyle w:val="84"/>
                  </w:pPr>
                </w:p>
              </w:tc>
              <w:tc>
                <w:tcPr>
                  <w:tcW w:w="2835" w:type="dxa"/>
                  <w:shd w:val="clear" w:color="auto" w:fill="auto"/>
                  <w:noWrap/>
                  <w:vAlign w:val="center"/>
                </w:tcPr>
                <w:p>
                  <w:pPr>
                    <w:pStyle w:val="83"/>
                    <w:rPr>
                      <w:rFonts w:hint="default" w:ascii="Times New Roman" w:hAnsi="Times New Roman" w:cs="Times New Roman"/>
                    </w:rPr>
                  </w:pPr>
                  <w:r>
                    <w:rPr>
                      <w:rFonts w:hint="default" w:ascii="Times New Roman" w:hAnsi="Times New Roman" w:cs="Times New Roman"/>
                    </w:rPr>
                    <w:t>2.采用集中供热或因地制宜利用清洁能源实现供热，禁止新建35蒸吨/小时以下燃煤锅炉。</w:t>
                  </w:r>
                </w:p>
              </w:tc>
              <w:tc>
                <w:tcPr>
                  <w:tcW w:w="2823" w:type="dxa"/>
                  <w:shd w:val="clear" w:color="auto" w:fill="auto"/>
                  <w:noWrap/>
                  <w:vAlign w:val="center"/>
                </w:tcPr>
                <w:p>
                  <w:pPr>
                    <w:pStyle w:val="83"/>
                    <w:rPr>
                      <w:rFonts w:hint="default" w:ascii="Times New Roman" w:hAnsi="Times New Roman" w:cs="Times New Roman"/>
                    </w:rPr>
                  </w:pPr>
                  <w:r>
                    <w:rPr>
                      <w:rFonts w:hint="default" w:ascii="Times New Roman" w:hAnsi="Times New Roman" w:cs="Times New Roman"/>
                    </w:rPr>
                    <w:t>本项目供热依托园区。</w:t>
                  </w:r>
                </w:p>
              </w:tc>
              <w:tc>
                <w:tcPr>
                  <w:tcW w:w="692" w:type="dxa"/>
                  <w:vAlign w:val="center"/>
                </w:tcPr>
                <w:p>
                  <w:pPr>
                    <w:pStyle w:val="83"/>
                    <w:jc w:val="center"/>
                    <w:rPr>
                      <w:rFonts w:hint="default" w:ascii="Times New Roman" w:hAnsi="Times New Roman" w:cs="Times New Roman"/>
                    </w:rPr>
                  </w:pPr>
                  <w:r>
                    <w:rPr>
                      <w:rFonts w:hint="default" w:ascii="Times New Roman" w:hAnsi="Times New Roman" w:cs="Times New Roman"/>
                    </w:rPr>
                    <w:t>符合</w:t>
                  </w:r>
                </w:p>
              </w:tc>
              <w:tc>
                <w:tcPr>
                  <w:tcW w:w="3288" w:type="dxa"/>
                </w:tcPr>
                <w:p>
                  <w:pPr>
                    <w:pStyle w:val="83"/>
                    <w:rPr>
                      <w:rFonts w:hint="default" w:ascii="Times New Roman" w:hAnsi="Times New Roman" w:cs="Times New Roman"/>
                    </w:rPr>
                  </w:pPr>
                </w:p>
              </w:tc>
              <w:tc>
                <w:tcPr>
                  <w:tcW w:w="3288" w:type="dxa"/>
                </w:tcPr>
                <w:p>
                  <w:pPr>
                    <w:pStyle w:val="83"/>
                    <w:rPr>
                      <w:rFonts w:hint="default" w:ascii="Times New Roman" w:hAnsi="Times New Roman" w:cs="Times New Roma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63" w:type="dxa"/>
                  <w:vMerge w:val="continue"/>
                  <w:vAlign w:val="center"/>
                </w:tcPr>
                <w:p>
                  <w:pPr>
                    <w:pStyle w:val="84"/>
                  </w:pPr>
                </w:p>
              </w:tc>
              <w:tc>
                <w:tcPr>
                  <w:tcW w:w="2835" w:type="dxa"/>
                  <w:shd w:val="clear" w:color="auto" w:fill="auto"/>
                  <w:noWrap/>
                  <w:vAlign w:val="center"/>
                </w:tcPr>
                <w:p>
                  <w:pPr>
                    <w:pStyle w:val="83"/>
                    <w:rPr>
                      <w:rFonts w:hint="default" w:ascii="Times New Roman" w:hAnsi="Times New Roman" w:cs="Times New Roman"/>
                    </w:rPr>
                  </w:pPr>
                  <w:r>
                    <w:rPr>
                      <w:rFonts w:hint="default" w:ascii="Times New Roman" w:hAnsi="Times New Roman" w:cs="Times New Roman"/>
                    </w:rPr>
                    <w:t>3.</w:t>
                  </w:r>
                  <w:r>
                    <w:rPr>
                      <w:rFonts w:ascii="Times New Roman" w:hAnsi="Times New Roman" w:cs="Times New Roman"/>
                    </w:rPr>
                    <w:t>完善园区污水集中处理设施和配套管网。污水应收尽收，全部回用，严禁污水入黄。矿井水、中水回用率达到90%以上。实施石油石化、化工等高耗水企业废水深度处理回用工程。强化焦化废水深度处理，区域内焦化废水必须全收集、全处理、全回用。</w:t>
                  </w:r>
                </w:p>
              </w:tc>
              <w:tc>
                <w:tcPr>
                  <w:tcW w:w="2823" w:type="dxa"/>
                  <w:shd w:val="clear" w:color="auto" w:fill="auto"/>
                  <w:noWrap/>
                  <w:vAlign w:val="center"/>
                </w:tcPr>
                <w:p>
                  <w:pPr>
                    <w:pStyle w:val="83"/>
                    <w:rPr>
                      <w:rFonts w:hint="default" w:ascii="Times New Roman" w:hAnsi="Times New Roman" w:cs="Times New Roman"/>
                    </w:rPr>
                  </w:pPr>
                  <w:r>
                    <w:rPr>
                      <w:rFonts w:hint="default" w:ascii="Times New Roman" w:hAnsi="Times New Roman" w:cs="Times New Roman"/>
                    </w:rPr>
                    <w:t>本项目生产废水循环使用，不外排，生活污水排入园区污水处理厂。</w:t>
                  </w:r>
                </w:p>
              </w:tc>
              <w:tc>
                <w:tcPr>
                  <w:tcW w:w="692" w:type="dxa"/>
                  <w:vAlign w:val="center"/>
                </w:tcPr>
                <w:p>
                  <w:pPr>
                    <w:pStyle w:val="83"/>
                    <w:jc w:val="center"/>
                    <w:rPr>
                      <w:rFonts w:hint="default" w:ascii="Times New Roman" w:hAnsi="Times New Roman" w:cs="Times New Roman"/>
                    </w:rPr>
                  </w:pPr>
                  <w:r>
                    <w:rPr>
                      <w:rFonts w:hint="default" w:ascii="Times New Roman" w:hAnsi="Times New Roman" w:cs="Times New Roman"/>
                    </w:rPr>
                    <w:t>符合</w:t>
                  </w:r>
                </w:p>
              </w:tc>
              <w:tc>
                <w:tcPr>
                  <w:tcW w:w="3288" w:type="dxa"/>
                </w:tcPr>
                <w:p>
                  <w:pPr>
                    <w:pStyle w:val="83"/>
                    <w:rPr>
                      <w:rFonts w:hint="default" w:ascii="Times New Roman" w:hAnsi="Times New Roman" w:cs="Times New Roman"/>
                    </w:rPr>
                  </w:pPr>
                </w:p>
              </w:tc>
              <w:tc>
                <w:tcPr>
                  <w:tcW w:w="3288" w:type="dxa"/>
                </w:tcPr>
                <w:p>
                  <w:pPr>
                    <w:pStyle w:val="83"/>
                    <w:rPr>
                      <w:rFonts w:hint="default" w:ascii="Times New Roman" w:hAnsi="Times New Roman" w:cs="Times New Roma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363" w:type="dxa"/>
                  <w:vMerge w:val="continue"/>
                  <w:vAlign w:val="center"/>
                </w:tcPr>
                <w:p>
                  <w:pPr>
                    <w:pStyle w:val="84"/>
                  </w:pPr>
                </w:p>
              </w:tc>
              <w:tc>
                <w:tcPr>
                  <w:tcW w:w="2835" w:type="dxa"/>
                  <w:shd w:val="clear" w:color="auto" w:fill="auto"/>
                  <w:noWrap/>
                  <w:vAlign w:val="center"/>
                </w:tcPr>
                <w:p>
                  <w:pPr>
                    <w:pStyle w:val="83"/>
                    <w:rPr>
                      <w:rFonts w:hint="default" w:ascii="Times New Roman" w:hAnsi="Times New Roman" w:cs="Times New Roman"/>
                    </w:rPr>
                  </w:pPr>
                  <w:r>
                    <w:rPr>
                      <w:rFonts w:hint="default" w:ascii="Times New Roman" w:hAnsi="Times New Roman" w:cs="Times New Roman"/>
                    </w:rPr>
                    <w:t>4.</w:t>
                  </w:r>
                  <w:r>
                    <w:rPr>
                      <w:rFonts w:ascii="Times New Roman" w:hAnsi="Times New Roman" w:cs="Times New Roman"/>
                    </w:rPr>
                    <w:t>推进高含盐水“零排放”，稳定运行高盐水深度处理和分盐结晶设施，完善配套设施、优化工艺技术，确保高盐水全部结晶处理，严禁排入晾晒池。加快现有晾晒池取缔或转变功能，禁止新建晾晒池、蒸发塘</w:t>
                  </w:r>
                  <w:r>
                    <w:rPr>
                      <w:rFonts w:hint="default" w:ascii="Times New Roman" w:hAnsi="Times New Roman" w:cs="Times New Roman"/>
                    </w:rPr>
                    <w:t>。</w:t>
                  </w:r>
                </w:p>
              </w:tc>
              <w:tc>
                <w:tcPr>
                  <w:tcW w:w="2823" w:type="dxa"/>
                  <w:shd w:val="clear" w:color="auto" w:fill="auto"/>
                  <w:noWrap/>
                  <w:vAlign w:val="center"/>
                </w:tcPr>
                <w:p>
                  <w:pPr>
                    <w:pStyle w:val="83"/>
                    <w:rPr>
                      <w:rFonts w:hint="default" w:ascii="Times New Roman" w:hAnsi="Times New Roman" w:cs="Times New Roman"/>
                    </w:rPr>
                  </w:pPr>
                  <w:r>
                    <w:rPr>
                      <w:rFonts w:hint="default" w:ascii="Times New Roman" w:hAnsi="Times New Roman" w:cs="Times New Roman"/>
                    </w:rPr>
                    <w:t>本项目不涉及。</w:t>
                  </w:r>
                </w:p>
              </w:tc>
              <w:tc>
                <w:tcPr>
                  <w:tcW w:w="692" w:type="dxa"/>
                  <w:vAlign w:val="center"/>
                </w:tcPr>
                <w:p>
                  <w:pPr>
                    <w:pStyle w:val="83"/>
                    <w:jc w:val="center"/>
                    <w:rPr>
                      <w:rFonts w:hint="default" w:ascii="Times New Roman" w:hAnsi="Times New Roman" w:cs="Times New Roman"/>
                    </w:rPr>
                  </w:pPr>
                  <w:r>
                    <w:rPr>
                      <w:rFonts w:hint="default" w:ascii="Times New Roman" w:hAnsi="Times New Roman" w:cs="Times New Roman"/>
                    </w:rPr>
                    <w:t>符合</w:t>
                  </w:r>
                </w:p>
              </w:tc>
              <w:tc>
                <w:tcPr>
                  <w:tcW w:w="3288" w:type="dxa"/>
                </w:tcPr>
                <w:p>
                  <w:pPr>
                    <w:pStyle w:val="83"/>
                    <w:rPr>
                      <w:rFonts w:hint="default" w:ascii="Times New Roman" w:hAnsi="Times New Roman" w:cs="Times New Roman"/>
                    </w:rPr>
                  </w:pPr>
                </w:p>
              </w:tc>
              <w:tc>
                <w:tcPr>
                  <w:tcW w:w="3288" w:type="dxa"/>
                </w:tcPr>
                <w:p>
                  <w:pPr>
                    <w:pStyle w:val="83"/>
                    <w:rPr>
                      <w:rFonts w:hint="default" w:ascii="Times New Roman" w:hAnsi="Times New Roman" w:cs="Times New Roman"/>
                    </w:rPr>
                  </w:pPr>
                </w:p>
              </w:tc>
            </w:tr>
          </w:tbl>
          <w:p>
            <w:pPr>
              <w:pStyle w:val="82"/>
              <w:rPr>
                <w:rFonts w:hint="default" w:ascii="Times New Roman" w:hAnsi="Times New Roman" w:cs="Times New Roman"/>
              </w:rPr>
            </w:pPr>
            <w:r>
              <w:rPr>
                <w:rFonts w:hint="default" w:ascii="Times New Roman" w:hAnsi="Times New Roman" w:cs="Times New Roman"/>
              </w:rPr>
              <w:t>由上表可知，本项目符合</w:t>
            </w:r>
            <w:r>
              <w:rPr>
                <w:rFonts w:ascii="Times New Roman" w:hAnsi="Times New Roman" w:cs="Times New Roman"/>
              </w:rPr>
              <w:t>鄂尔多斯市</w:t>
            </w:r>
            <w:r>
              <w:t>生态环境分区管控</w:t>
            </w:r>
            <w:r>
              <w:rPr>
                <w:rFonts w:hint="default" w:ascii="Times New Roman" w:hAnsi="Times New Roman" w:cs="Times New Roman"/>
              </w:rPr>
              <w:t>相关要求。</w:t>
            </w:r>
          </w:p>
          <w:p>
            <w:pPr>
              <w:pStyle w:val="82"/>
              <w:ind w:firstLine="0" w:firstLineChars="0"/>
              <w:jc w:val="center"/>
              <w:rPr>
                <w:rFonts w:hint="default" w:ascii="Times New Roman" w:hAnsi="Times New Roman" w:cs="Times New Roman"/>
                <w:b/>
                <w:bCs/>
                <w:sz w:val="21"/>
                <w:szCs w:val="21"/>
              </w:rPr>
            </w:pPr>
          </w:p>
        </w:tc>
      </w:tr>
    </w:tbl>
    <w:p>
      <w:pPr>
        <w:spacing w:line="360" w:lineRule="auto"/>
        <w:outlineLvl w:val="0"/>
        <w:rPr>
          <w:rFonts w:eastAsia="黑体"/>
          <w:sz w:val="30"/>
        </w:rPr>
        <w:sectPr>
          <w:footerReference r:id="rId6" w:type="default"/>
          <w:pgSz w:w="11906" w:h="16838"/>
          <w:pgMar w:top="1701" w:right="1531" w:bottom="1985" w:left="1531" w:header="850" w:footer="1077" w:gutter="0"/>
          <w:pgNumType w:start="1"/>
          <w:cols w:space="720" w:num="1"/>
          <w:docGrid w:linePitch="312" w:charSpace="0"/>
        </w:sectPr>
      </w:pPr>
    </w:p>
    <w:p>
      <w:pPr>
        <w:pStyle w:val="90"/>
        <w:spacing w:before="100" w:after="100"/>
        <w:rPr>
          <w:rFonts w:hint="default"/>
          <w:color w:val="auto"/>
        </w:rPr>
      </w:pPr>
      <w:r>
        <w:rPr>
          <w:color w:val="auto"/>
        </w:rPr>
        <w:t>建设项目工程分析</w:t>
      </w:r>
    </w:p>
    <w:tbl>
      <w:tblPr>
        <w:tblStyle w:val="23"/>
        <w:tblW w:w="9202" w:type="dxa"/>
        <w:tblInd w:w="-38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8"/>
        <w:gridCol w:w="88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0" w:hRule="atLeast"/>
        </w:trPr>
        <w:tc>
          <w:tcPr>
            <w:tcW w:w="901" w:type="dxa"/>
            <w:tcBorders>
              <w:top w:val="single" w:color="auto" w:sz="4" w:space="0"/>
              <w:left w:val="single" w:color="auto" w:sz="4" w:space="0"/>
              <w:bottom w:val="single" w:color="auto" w:sz="4" w:space="0"/>
              <w:right w:val="single" w:color="auto" w:sz="4" w:space="0"/>
            </w:tcBorders>
            <w:vAlign w:val="center"/>
          </w:tcPr>
          <w:p>
            <w:pPr>
              <w:pStyle w:val="89"/>
              <w:rPr>
                <w:rFonts w:hint="default" w:ascii="Times New Roman" w:hAnsi="Times New Roman" w:cs="Times New Roman"/>
                <w:color w:val="auto"/>
                <w:sz w:val="32"/>
                <w:szCs w:val="24"/>
              </w:rPr>
            </w:pPr>
            <w:r>
              <w:rPr>
                <w:rFonts w:hint="default" w:ascii="Times New Roman" w:hAnsi="Times New Roman" w:cs="Times New Roman"/>
                <w:color w:val="auto"/>
                <w:sz w:val="32"/>
                <w:szCs w:val="24"/>
              </w:rPr>
              <w:t>建设内容</w:t>
            </w:r>
          </w:p>
        </w:tc>
        <w:tc>
          <w:tcPr>
            <w:tcW w:w="8301" w:type="dxa"/>
            <w:tcBorders>
              <w:top w:val="single" w:color="auto" w:sz="4" w:space="0"/>
              <w:left w:val="single" w:color="auto" w:sz="4" w:space="0"/>
              <w:bottom w:val="single" w:color="auto" w:sz="4" w:space="0"/>
              <w:right w:val="single" w:color="auto" w:sz="4" w:space="0"/>
            </w:tcBorders>
          </w:tcPr>
          <w:p>
            <w:pPr>
              <w:pStyle w:val="92"/>
              <w:numPr>
                <w:ilvl w:val="0"/>
                <w:numId w:val="7"/>
              </w:numPr>
              <w:spacing w:before="120"/>
              <w:rPr>
                <w:rFonts w:hint="default" w:ascii="Times New Roman" w:hAnsi="Times New Roman" w:cs="Times New Roman"/>
                <w:color w:val="auto"/>
              </w:rPr>
            </w:pPr>
            <w:r>
              <w:rPr>
                <w:rFonts w:hint="default" w:ascii="Times New Roman" w:hAnsi="Times New Roman" w:cs="Times New Roman"/>
                <w:color w:val="auto"/>
              </w:rPr>
              <w:t>项目由来</w:t>
            </w:r>
          </w:p>
          <w:p>
            <w:pPr>
              <w:pStyle w:val="82"/>
              <w:rPr>
                <w:rFonts w:hint="default" w:ascii="Times New Roman" w:hAnsi="Times New Roman" w:cs="Times New Roman"/>
              </w:rPr>
            </w:pPr>
            <w:bookmarkStart w:id="36" w:name="OLE_LINK117"/>
            <w:bookmarkStart w:id="37" w:name="OLE_LINK116"/>
            <w:r>
              <w:rPr>
                <w:rFonts w:hint="default" w:ascii="Times New Roman" w:hAnsi="Times New Roman" w:cs="Times New Roman"/>
              </w:rPr>
              <w:t>内蒙古晟能能源有限责任公司，持有两项气化渣循环利用的核心技术专利，并有多年的建设、生产经验，开拓出广泛稳定市场。本公司已建设一条生产线：从废渣中分离出所含残炭-即“多孔炭”和“多孔硅”，提取残炭率可达98％。多孔炭产品中低灰分多孔炭产品可用于炼钢、铸造、冶金、新能源电池与清洁煤球，高灰分多孔炭可用于水泥、周边煤场配煤等；多孔硅和细砂可用于交通路面硬化、商砼、建筑建材、喷砂等行业。提炭脱硅后的细泥可用于砖厂制砖，冬季砖厂无法消纳时送园区渣场填埋，基本实现气化渣的全部回收利用。</w:t>
            </w:r>
            <w:bookmarkStart w:id="38" w:name="OLE_LINK708"/>
            <w:bookmarkStart w:id="39" w:name="OLE_LINK707"/>
          </w:p>
          <w:p>
            <w:pPr>
              <w:pStyle w:val="82"/>
              <w:rPr>
                <w:rFonts w:hint="default" w:ascii="Times New Roman" w:hAnsi="Times New Roman" w:cs="Times New Roman"/>
              </w:rPr>
            </w:pPr>
            <w:r>
              <w:rPr>
                <w:rFonts w:hint="default" w:ascii="Times New Roman" w:hAnsi="Times New Roman" w:cs="Times New Roman"/>
              </w:rPr>
              <w:t>而经过</w:t>
            </w:r>
            <w:bookmarkStart w:id="40" w:name="OLE_LINK55"/>
            <w:bookmarkStart w:id="41" w:name="OLE_LINK56"/>
            <w:r>
              <w:rPr>
                <w:rFonts w:hint="default" w:ascii="Times New Roman" w:hAnsi="Times New Roman" w:cs="Times New Roman"/>
              </w:rPr>
              <w:t>对脱碳后的尾渣</w:t>
            </w:r>
            <w:bookmarkEnd w:id="38"/>
            <w:bookmarkEnd w:id="39"/>
            <w:bookmarkEnd w:id="40"/>
            <w:bookmarkEnd w:id="41"/>
            <w:r>
              <w:rPr>
                <w:rFonts w:hint="default" w:ascii="Times New Roman" w:hAnsi="Times New Roman" w:cs="Times New Roman"/>
              </w:rPr>
              <w:t>检测分析，尾渣中含有铁、钙、镁等各种元素，经过梯级分离项目可以实现原料的全组分100%综合利用，同时分选过程无酸碱、废水循环利用，无二次污染。</w:t>
            </w:r>
            <w:r>
              <w:rPr>
                <w:rFonts w:ascii="Times New Roman" w:hAnsi="Times New Roman" w:cs="Times New Roman"/>
              </w:rPr>
              <w:t>为了增加现有项目产品细砂和固废细泥的利用价值，</w:t>
            </w:r>
            <w:bookmarkStart w:id="42" w:name="OLE_LINK714"/>
            <w:bookmarkStart w:id="43" w:name="OLE_LINK715"/>
            <w:r>
              <w:rPr>
                <w:rFonts w:hint="default" w:ascii="Times New Roman" w:hAnsi="Times New Roman" w:cs="Times New Roman"/>
              </w:rPr>
              <w:t>本公司拟在原有成品厂房里新增</w:t>
            </w:r>
            <w:bookmarkStart w:id="44" w:name="OLE_LINK77"/>
            <w:bookmarkStart w:id="45" w:name="OLE_LINK76"/>
            <w:r>
              <w:rPr>
                <w:rFonts w:hint="default" w:ascii="Times New Roman" w:hAnsi="Times New Roman" w:cs="Times New Roman"/>
              </w:rPr>
              <w:t>1套金属梯级回收设备</w:t>
            </w:r>
            <w:bookmarkEnd w:id="44"/>
            <w:bookmarkEnd w:id="45"/>
            <w:r>
              <w:rPr>
                <w:rFonts w:hint="default" w:ascii="Times New Roman" w:hAnsi="Times New Roman" w:cs="Times New Roman"/>
              </w:rPr>
              <w:t>(混料桶、球磨机、分级设备、磁选机、浮选机、搅拌装置、金属产品分级装置、压滤机等)，采用多种物理脱离工艺对原有脱碳后的废气化渣里的铁粉、钙镁产品、含硅金属富集矿进行梯级回收</w:t>
            </w:r>
            <w:bookmarkEnd w:id="42"/>
            <w:bookmarkEnd w:id="43"/>
            <w:r>
              <w:rPr>
                <w:rFonts w:hint="default" w:ascii="Times New Roman" w:hAnsi="Times New Roman" w:cs="Times New Roman"/>
              </w:rPr>
              <w:t>，增加</w:t>
            </w:r>
            <w:bookmarkStart w:id="46" w:name="OLE_LINK59"/>
            <w:bookmarkStart w:id="47" w:name="OLE_LINK57"/>
            <w:r>
              <w:rPr>
                <w:rFonts w:hint="default" w:ascii="Times New Roman" w:hAnsi="Times New Roman" w:cs="Times New Roman"/>
              </w:rPr>
              <w:t>其综合利用价值</w:t>
            </w:r>
            <w:bookmarkEnd w:id="46"/>
            <w:bookmarkEnd w:id="47"/>
            <w:r>
              <w:rPr>
                <w:rFonts w:hint="default" w:ascii="Times New Roman" w:hAnsi="Times New Roman" w:cs="Times New Roman"/>
              </w:rPr>
              <w:t>。</w:t>
            </w:r>
          </w:p>
          <w:bookmarkEnd w:id="36"/>
          <w:bookmarkEnd w:id="37"/>
          <w:p>
            <w:pPr>
              <w:pStyle w:val="92"/>
              <w:spacing w:before="120"/>
              <w:rPr>
                <w:rFonts w:hint="default" w:ascii="Times New Roman" w:hAnsi="Times New Roman" w:cs="Times New Roman"/>
                <w:color w:val="auto"/>
              </w:rPr>
            </w:pPr>
            <w:r>
              <w:rPr>
                <w:rFonts w:hint="default" w:ascii="Times New Roman" w:hAnsi="Times New Roman" w:cs="Times New Roman"/>
                <w:color w:val="auto"/>
              </w:rPr>
              <w:t>工程建设内容</w:t>
            </w:r>
          </w:p>
          <w:p>
            <w:pPr>
              <w:pStyle w:val="82"/>
              <w:rPr>
                <w:rFonts w:hint="default" w:ascii="Times New Roman" w:hAnsi="Times New Roman" w:cs="Times New Roman"/>
              </w:rPr>
            </w:pPr>
            <w:r>
              <w:rPr>
                <w:rFonts w:hint="default" w:ascii="Times New Roman" w:hAnsi="Times New Roman" w:cs="Times New Roman"/>
              </w:rPr>
              <w:t>项目名称：内蒙古晟能能源有限责任公司有价金属回收利用技改项目；</w:t>
            </w:r>
          </w:p>
          <w:p>
            <w:pPr>
              <w:pStyle w:val="82"/>
              <w:rPr>
                <w:rFonts w:hint="default" w:ascii="Times New Roman" w:hAnsi="Times New Roman" w:cs="Times New Roman"/>
              </w:rPr>
            </w:pPr>
            <w:r>
              <w:rPr>
                <w:rFonts w:hint="default" w:ascii="Times New Roman" w:hAnsi="Times New Roman" w:cs="Times New Roman"/>
              </w:rPr>
              <w:t>建设性质：技术改造；</w:t>
            </w:r>
          </w:p>
          <w:p>
            <w:pPr>
              <w:pStyle w:val="82"/>
              <w:rPr>
                <w:rFonts w:hint="default" w:ascii="Times New Roman" w:hAnsi="Times New Roman" w:cs="Times New Roman"/>
              </w:rPr>
            </w:pPr>
            <w:r>
              <w:rPr>
                <w:rFonts w:hint="default" w:ascii="Times New Roman" w:hAnsi="Times New Roman" w:cs="Times New Roman"/>
              </w:rPr>
              <w:t>建设地点：内蒙古鄂尔多斯达拉特经济开发区；</w:t>
            </w:r>
          </w:p>
          <w:p>
            <w:pPr>
              <w:pStyle w:val="82"/>
              <w:rPr>
                <w:rFonts w:hint="default" w:ascii="Times New Roman" w:hAnsi="Times New Roman" w:cs="Times New Roman"/>
              </w:rPr>
            </w:pPr>
            <w:r>
              <w:rPr>
                <w:rFonts w:hint="default" w:ascii="Times New Roman" w:hAnsi="Times New Roman" w:cs="Times New Roman"/>
              </w:rPr>
              <w:t>建设单位：内蒙古晟能能源有限责任公司；</w:t>
            </w:r>
          </w:p>
          <w:p>
            <w:pPr>
              <w:pStyle w:val="82"/>
              <w:rPr>
                <w:rFonts w:hint="default" w:ascii="Times New Roman" w:hAnsi="Times New Roman" w:cs="Times New Roman"/>
              </w:rPr>
            </w:pPr>
            <w:r>
              <w:rPr>
                <w:rFonts w:hint="default" w:ascii="Times New Roman" w:hAnsi="Times New Roman" w:cs="Times New Roman"/>
              </w:rPr>
              <w:t>占地面积：20002.55m</w:t>
            </w:r>
            <w:r>
              <w:rPr>
                <w:rFonts w:hint="default" w:ascii="Times New Roman" w:hAnsi="Times New Roman" w:cs="Times New Roman"/>
                <w:vertAlign w:val="superscript"/>
              </w:rPr>
              <w:t>2</w:t>
            </w:r>
            <w:r>
              <w:rPr>
                <w:rFonts w:hint="default" w:ascii="Times New Roman" w:hAnsi="Times New Roman" w:cs="Times New Roman"/>
              </w:rPr>
              <w:t>；</w:t>
            </w:r>
          </w:p>
          <w:p>
            <w:pPr>
              <w:pStyle w:val="82"/>
              <w:rPr>
                <w:rFonts w:hint="default" w:ascii="Times New Roman" w:hAnsi="Times New Roman" w:cs="Times New Roman"/>
              </w:rPr>
            </w:pPr>
            <w:r>
              <w:rPr>
                <w:rFonts w:hint="default" w:ascii="Times New Roman" w:hAnsi="Times New Roman" w:cs="Times New Roman"/>
              </w:rPr>
              <w:t>总投资：1000万元；</w:t>
            </w:r>
          </w:p>
          <w:p>
            <w:pPr>
              <w:pStyle w:val="82"/>
              <w:rPr>
                <w:rFonts w:hint="default" w:ascii="Times New Roman" w:hAnsi="Times New Roman" w:cs="Times New Roman"/>
              </w:rPr>
            </w:pPr>
            <w:r>
              <w:rPr>
                <w:rFonts w:hint="default" w:ascii="Times New Roman" w:hAnsi="Times New Roman" w:cs="Times New Roman"/>
              </w:rPr>
              <w:t>劳动定员及工作制度：</w:t>
            </w:r>
            <w:bookmarkStart w:id="48" w:name="_Hlk209510234"/>
            <w:r>
              <w:rPr>
                <w:rFonts w:ascii="Times New Roman" w:hAnsi="Times New Roman" w:cs="Times New Roman"/>
              </w:rPr>
              <w:t>本次技改不新增劳动定员</w:t>
            </w:r>
            <w:r>
              <w:rPr>
                <w:rFonts w:hint="default" w:ascii="Times New Roman" w:hAnsi="Times New Roman" w:cs="Times New Roman"/>
              </w:rPr>
              <w:t>。</w:t>
            </w:r>
            <w:bookmarkEnd w:id="48"/>
          </w:p>
          <w:p>
            <w:pPr>
              <w:pStyle w:val="92"/>
              <w:spacing w:before="120"/>
              <w:rPr>
                <w:rFonts w:hint="default" w:ascii="Times New Roman" w:hAnsi="Times New Roman" w:cs="Times New Roman"/>
                <w:color w:val="auto"/>
              </w:rPr>
            </w:pPr>
            <w:r>
              <w:rPr>
                <w:rFonts w:hint="default" w:ascii="Times New Roman" w:hAnsi="Times New Roman" w:cs="Times New Roman"/>
                <w:color w:val="auto"/>
              </w:rPr>
              <w:t>项目地理位置及周边环境</w:t>
            </w:r>
          </w:p>
          <w:p>
            <w:pPr>
              <w:pStyle w:val="82"/>
              <w:rPr>
                <w:rFonts w:hint="default" w:ascii="Times New Roman" w:hAnsi="Times New Roman" w:cs="Times New Roman"/>
              </w:rPr>
            </w:pPr>
            <w:r>
              <w:rPr>
                <w:rFonts w:hint="default" w:ascii="Times New Roman" w:hAnsi="Times New Roman" w:cs="Times New Roman"/>
              </w:rPr>
              <w:t>本项目位于内蒙古鄂尔多斯市达拉特经济开发区三垧梁工业园区，项目场地东侧为空地，南侧为内蒙古金时空科技有限公司甲醇钠项目（停产），西侧为空地、北侧为益升航建材有限公司。具体地理位置见下图。</w:t>
            </w:r>
          </w:p>
          <w:p>
            <w:pPr>
              <w:pStyle w:val="82"/>
              <w:ind w:firstLine="0" w:firstLineChars="0"/>
              <w:rPr>
                <w:rFonts w:hint="default" w:ascii="Times New Roman" w:hAnsi="Times New Roman" w:cs="Times New Roman"/>
              </w:rPr>
            </w:pPr>
            <w:r>
              <w:rPr>
                <w:rFonts w:hint="default" w:ascii="Times New Roman" w:hAnsi="Times New Roman" w:cs="Times New Roman"/>
              </w:rPr>
              <w:drawing>
                <wp:inline distT="0" distB="0" distL="0" distR="0">
                  <wp:extent cx="5361940" cy="3816350"/>
                  <wp:effectExtent l="0" t="0" r="0" b="0"/>
                  <wp:docPr id="7"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true"/>
                          </pic:cNvPicPr>
                        </pic:nvPicPr>
                        <pic:blipFill>
                          <a:blip r:embed="rId10"/>
                          <a:stretch>
                            <a:fillRect/>
                          </a:stretch>
                        </pic:blipFill>
                        <pic:spPr>
                          <a:xfrm>
                            <a:off x="0" y="0"/>
                            <a:ext cx="5366813" cy="3820176"/>
                          </a:xfrm>
                          <a:prstGeom prst="rect">
                            <a:avLst/>
                          </a:prstGeom>
                        </pic:spPr>
                      </pic:pic>
                    </a:graphicData>
                  </a:graphic>
                </wp:inline>
              </w:drawing>
            </w:r>
          </w:p>
          <w:p>
            <w:pPr>
              <w:pStyle w:val="82"/>
              <w:ind w:firstLine="0" w:firstLineChars="0"/>
              <w:jc w:val="center"/>
              <w:rPr>
                <w:rFonts w:hint="default" w:ascii="Times New Roman" w:hAnsi="Times New Roman" w:cs="Times New Roman"/>
                <w:b/>
                <w:bCs/>
                <w:sz w:val="21"/>
                <w:szCs w:val="21"/>
              </w:rPr>
            </w:pPr>
            <w:r>
              <w:rPr>
                <w:rFonts w:hint="default" w:ascii="Times New Roman" w:hAnsi="Times New Roman" w:cs="Times New Roman"/>
                <w:b/>
                <w:bCs/>
                <w:sz w:val="21"/>
                <w:szCs w:val="21"/>
              </w:rPr>
              <w:t>项目地理位置图</w:t>
            </w:r>
          </w:p>
          <w:p>
            <w:pPr>
              <w:pStyle w:val="92"/>
              <w:spacing w:before="120"/>
              <w:rPr>
                <w:rFonts w:hint="default" w:ascii="Times New Roman" w:hAnsi="Times New Roman" w:cs="Times New Roman"/>
                <w:color w:val="auto"/>
              </w:rPr>
            </w:pPr>
            <w:r>
              <w:rPr>
                <w:rFonts w:hint="default" w:ascii="Times New Roman" w:hAnsi="Times New Roman" w:cs="Times New Roman"/>
                <w:color w:val="auto"/>
              </w:rPr>
              <w:t>项目组成</w:t>
            </w:r>
            <w:r>
              <w:rPr>
                <w:rFonts w:ascii="Times New Roman" w:hAnsi="Times New Roman" w:cs="Times New Roman"/>
                <w:color w:val="auto"/>
              </w:rPr>
              <w:t xml:space="preserve"> </w:t>
            </w:r>
          </w:p>
          <w:p>
            <w:pPr>
              <w:pStyle w:val="92"/>
              <w:numPr>
                <w:ilvl w:val="0"/>
                <w:numId w:val="0"/>
              </w:numPr>
              <w:spacing w:before="120"/>
              <w:rPr>
                <w:rFonts w:hint="default"/>
              </w:rPr>
            </w:pPr>
            <w:r>
              <w:rPr>
                <w:rFonts w:ascii="Times New Roman" w:hAnsi="Times New Roman" w:cs="Times New Roman"/>
                <w:color w:val="auto"/>
              </w:rPr>
              <w:t>4.1</w:t>
            </w:r>
            <w:r>
              <w:t>现有工程概况</w:t>
            </w:r>
          </w:p>
          <w:p>
            <w:pPr>
              <w:pStyle w:val="111"/>
              <w:ind w:firstLine="480"/>
            </w:pPr>
            <w:r>
              <w:rPr>
                <w:rFonts w:hint="eastAsia"/>
              </w:rPr>
              <w:t>（1）现有项目建设内容</w:t>
            </w:r>
          </w:p>
          <w:p>
            <w:pPr>
              <w:pStyle w:val="111"/>
              <w:ind w:firstLine="480"/>
            </w:pPr>
            <w:r>
              <w:rPr>
                <w:rFonts w:hint="eastAsia"/>
                <w:bCs/>
                <w:color w:val="000000"/>
              </w:rPr>
              <w:t>2023年6月</w:t>
            </w:r>
            <w:bookmarkStart w:id="49" w:name="OLE_LINK314"/>
            <w:bookmarkStart w:id="50" w:name="OLE_LINK315"/>
            <w:r>
              <w:rPr>
                <w:rFonts w:hint="eastAsia"/>
                <w:bCs/>
                <w:color w:val="000000"/>
              </w:rPr>
              <w:t>企业委托内蒙古凯越工程咨询有限公司编制了《</w:t>
            </w:r>
            <w:bookmarkStart w:id="51" w:name="OLE_LINK32"/>
            <w:bookmarkStart w:id="52" w:name="OLE_LINK50"/>
            <w:bookmarkStart w:id="53" w:name="OLE_LINK49"/>
            <w:bookmarkStart w:id="54" w:name="OLE_LINK247"/>
            <w:r>
              <w:rPr>
                <w:color w:val="000000"/>
              </w:rPr>
              <w:t>内蒙古晟能能源有限责任公司</w:t>
            </w:r>
            <w:bookmarkEnd w:id="51"/>
            <w:r>
              <w:rPr>
                <w:color w:val="000000"/>
              </w:rPr>
              <w:t>年处理60万吨工业固废综合利用项目</w:t>
            </w:r>
            <w:bookmarkEnd w:id="52"/>
            <w:bookmarkEnd w:id="53"/>
            <w:bookmarkEnd w:id="54"/>
            <w:r>
              <w:rPr>
                <w:rFonts w:hint="eastAsia"/>
                <w:color w:val="000000"/>
              </w:rPr>
              <w:t>环境影响报告表</w:t>
            </w:r>
            <w:r>
              <w:rPr>
                <w:rFonts w:hint="eastAsia"/>
                <w:bCs/>
                <w:color w:val="000000"/>
              </w:rPr>
              <w:t>》</w:t>
            </w:r>
            <w:bookmarkEnd w:id="49"/>
            <w:bookmarkEnd w:id="50"/>
            <w:r>
              <w:rPr>
                <w:rFonts w:hint="eastAsia"/>
                <w:bCs/>
                <w:color w:val="000000"/>
              </w:rPr>
              <w:t>，</w:t>
            </w:r>
            <w:bookmarkStart w:id="55" w:name="OLE_LINK47"/>
            <w:bookmarkStart w:id="56" w:name="OLE_LINK48"/>
            <w:r>
              <w:rPr>
                <w:bCs/>
                <w:color w:val="000000"/>
              </w:rPr>
              <w:t>20</w:t>
            </w:r>
            <w:r>
              <w:rPr>
                <w:rFonts w:hint="eastAsia"/>
                <w:bCs/>
                <w:color w:val="000000"/>
              </w:rPr>
              <w:t>23</w:t>
            </w:r>
            <w:r>
              <w:rPr>
                <w:bCs/>
                <w:color w:val="000000"/>
              </w:rPr>
              <w:t>年</w:t>
            </w:r>
            <w:r>
              <w:rPr>
                <w:rFonts w:hint="eastAsia"/>
                <w:bCs/>
                <w:color w:val="000000"/>
              </w:rPr>
              <w:t>8</w:t>
            </w:r>
            <w:r>
              <w:rPr>
                <w:bCs/>
                <w:color w:val="000000"/>
              </w:rPr>
              <w:t>月</w:t>
            </w:r>
            <w:r>
              <w:rPr>
                <w:rFonts w:hint="eastAsia"/>
                <w:bCs/>
                <w:color w:val="000000"/>
              </w:rPr>
              <w:t>14日取得批复，批复部门：鄂尔多斯市生态环境局，批复文号：</w:t>
            </w:r>
            <w:r>
              <w:rPr>
                <w:rFonts w:hint="eastAsia"/>
                <w:bCs/>
                <w:color w:val="000000"/>
                <w:highlight w:val="yellow"/>
              </w:rPr>
              <w:t>鄂</w:t>
            </w:r>
            <w:r>
              <w:rPr>
                <w:rFonts w:hint="eastAsia"/>
                <w:bCs/>
                <w:color w:val="000000"/>
              </w:rPr>
              <w:t>环审字[2023]190号。</w:t>
            </w:r>
            <w:bookmarkEnd w:id="55"/>
            <w:bookmarkEnd w:id="56"/>
            <w:r>
              <w:rPr>
                <w:bCs/>
                <w:color w:val="000000"/>
              </w:rPr>
              <w:t>项目于20</w:t>
            </w:r>
            <w:r>
              <w:rPr>
                <w:rFonts w:hint="eastAsia"/>
                <w:bCs/>
                <w:color w:val="000000"/>
              </w:rPr>
              <w:t>23</w:t>
            </w:r>
            <w:r>
              <w:rPr>
                <w:bCs/>
                <w:color w:val="000000"/>
              </w:rPr>
              <w:t>年</w:t>
            </w:r>
            <w:r>
              <w:rPr>
                <w:rFonts w:hint="eastAsia"/>
                <w:bCs/>
                <w:color w:val="000000"/>
              </w:rPr>
              <w:t>9</w:t>
            </w:r>
            <w:r>
              <w:rPr>
                <w:bCs/>
                <w:color w:val="000000"/>
              </w:rPr>
              <w:t>月开工建设，20</w:t>
            </w:r>
            <w:r>
              <w:rPr>
                <w:rFonts w:hint="eastAsia"/>
                <w:bCs/>
                <w:color w:val="000000"/>
              </w:rPr>
              <w:t>24</w:t>
            </w:r>
            <w:r>
              <w:rPr>
                <w:bCs/>
                <w:color w:val="000000"/>
              </w:rPr>
              <w:t>年</w:t>
            </w:r>
            <w:r>
              <w:rPr>
                <w:rFonts w:hint="eastAsia"/>
                <w:bCs/>
                <w:color w:val="000000"/>
              </w:rPr>
              <w:t>11</w:t>
            </w:r>
            <w:r>
              <w:rPr>
                <w:bCs/>
                <w:color w:val="000000"/>
              </w:rPr>
              <w:t>月竣工</w:t>
            </w:r>
            <w:r>
              <w:rPr>
                <w:rFonts w:hint="eastAsia"/>
              </w:rPr>
              <w:t>。</w:t>
            </w:r>
            <w:bookmarkStart w:id="57" w:name="OLE_LINK246"/>
            <w:bookmarkStart w:id="58" w:name="OLE_LINK245"/>
            <w:r>
              <w:rPr>
                <w:rFonts w:hint="eastAsia"/>
                <w:color w:val="000000"/>
              </w:rPr>
              <w:t>2024年11月15日取得鄂尔多斯市生态环境局达拉特旗分局出具的突发环境事件应急预案备案表，备案编号150621-2024-081-L。</w:t>
            </w:r>
            <w:bookmarkEnd w:id="57"/>
            <w:bookmarkEnd w:id="58"/>
            <w:r>
              <w:rPr>
                <w:rFonts w:hint="eastAsia"/>
                <w:color w:val="000000"/>
              </w:rPr>
              <w:t>2024</w:t>
            </w:r>
            <w:r>
              <w:rPr>
                <w:color w:val="000000"/>
              </w:rPr>
              <w:t>年</w:t>
            </w:r>
            <w:r>
              <w:rPr>
                <w:rFonts w:hint="eastAsia"/>
                <w:color w:val="000000"/>
              </w:rPr>
              <w:t>12</w:t>
            </w:r>
            <w:r>
              <w:rPr>
                <w:color w:val="000000"/>
              </w:rPr>
              <w:t>月</w:t>
            </w:r>
            <w:r>
              <w:rPr>
                <w:rFonts w:hint="eastAsia"/>
                <w:color w:val="000000"/>
              </w:rPr>
              <w:t>19</w:t>
            </w:r>
            <w:r>
              <w:rPr>
                <w:color w:val="000000"/>
              </w:rPr>
              <w:t>日</w:t>
            </w:r>
            <w:r>
              <w:rPr>
                <w:rFonts w:hint="eastAsia"/>
                <w:color w:val="000000"/>
              </w:rPr>
              <w:t>办理了排污登记表</w:t>
            </w:r>
            <w:r>
              <w:rPr>
                <w:color w:val="000000"/>
              </w:rPr>
              <w:t>，编号：91150621MA13QJFP5L001X。</w:t>
            </w:r>
            <w:r>
              <w:rPr>
                <w:rFonts w:hint="eastAsia"/>
              </w:rPr>
              <w:t>2024年12月，</w:t>
            </w:r>
            <w:r>
              <w:rPr>
                <w:rFonts w:hint="eastAsia"/>
                <w:bCs/>
                <w:color w:val="000000"/>
              </w:rPr>
              <w:t>企业委托</w:t>
            </w:r>
            <w:r>
              <w:rPr>
                <w:rFonts w:hint="eastAsia"/>
              </w:rPr>
              <w:t>内蒙古凯越工程咨询有限公司</w:t>
            </w:r>
            <w:r>
              <w:rPr>
                <w:rFonts w:hint="eastAsia"/>
                <w:bCs/>
                <w:color w:val="000000"/>
              </w:rPr>
              <w:t>编制了</w:t>
            </w:r>
            <w:bookmarkStart w:id="59" w:name="OLE_LINK250"/>
            <w:bookmarkStart w:id="60" w:name="OLE_LINK251"/>
            <w:r>
              <w:rPr>
                <w:rFonts w:hint="eastAsia"/>
                <w:bCs/>
                <w:color w:val="000000"/>
              </w:rPr>
              <w:t>《</w:t>
            </w:r>
            <w:bookmarkStart w:id="61" w:name="_Hlk197938418"/>
            <w:r>
              <w:rPr>
                <w:rFonts w:hint="eastAsia"/>
              </w:rPr>
              <w:t>内蒙古晟能能源有限责任公司工业固废综合利用技术改造项目</w:t>
            </w:r>
            <w:bookmarkEnd w:id="61"/>
            <w:r>
              <w:rPr>
                <w:rFonts w:hint="eastAsia"/>
                <w:color w:val="000000"/>
              </w:rPr>
              <w:t>环境影响报告表</w:t>
            </w:r>
            <w:r>
              <w:rPr>
                <w:rFonts w:hint="eastAsia"/>
                <w:bCs/>
                <w:color w:val="000000"/>
              </w:rPr>
              <w:t>》</w:t>
            </w:r>
            <w:bookmarkEnd w:id="59"/>
            <w:bookmarkEnd w:id="60"/>
            <w:r>
              <w:rPr>
                <w:rFonts w:hint="eastAsia"/>
              </w:rPr>
              <w:t>，</w:t>
            </w:r>
            <w:r>
              <w:rPr>
                <w:bCs/>
                <w:color w:val="000000"/>
              </w:rPr>
              <w:t>20</w:t>
            </w:r>
            <w:r>
              <w:rPr>
                <w:rFonts w:hint="eastAsia"/>
                <w:bCs/>
                <w:color w:val="000000"/>
              </w:rPr>
              <w:t>25</w:t>
            </w:r>
            <w:r>
              <w:rPr>
                <w:bCs/>
                <w:color w:val="000000"/>
              </w:rPr>
              <w:t>年</w:t>
            </w:r>
            <w:r>
              <w:rPr>
                <w:rFonts w:hint="eastAsia"/>
                <w:bCs/>
                <w:color w:val="000000"/>
              </w:rPr>
              <w:t>7</w:t>
            </w:r>
            <w:r>
              <w:rPr>
                <w:bCs/>
                <w:color w:val="000000"/>
              </w:rPr>
              <w:t>月</w:t>
            </w:r>
            <w:r>
              <w:rPr>
                <w:rFonts w:hint="eastAsia"/>
                <w:bCs/>
                <w:color w:val="000000"/>
              </w:rPr>
              <w:t>1日取得批复，批复部门：鄂尔多斯市生态环境局，批复文号：鄂环审字[2025]105号。</w:t>
            </w:r>
            <w:r>
              <w:rPr>
                <w:rFonts w:hint="eastAsia"/>
              </w:rPr>
              <w:t>2025年1月，</w:t>
            </w:r>
            <w:r>
              <w:rPr>
                <w:color w:val="000000"/>
              </w:rPr>
              <w:t>内蒙古晟能能源有限责任公司</w:t>
            </w:r>
            <w:r>
              <w:rPr>
                <w:rFonts w:hint="eastAsia"/>
              </w:rPr>
              <w:t>对</w:t>
            </w:r>
            <w:r>
              <w:rPr>
                <w:color w:val="000000"/>
              </w:rPr>
              <w:t>内蒙古晟能能源有限责任公司年处理60万吨工业固废综合利用项目</w:t>
            </w:r>
            <w:r>
              <w:rPr>
                <w:rFonts w:hint="eastAsia"/>
              </w:rPr>
              <w:t>进行自主验收，经专家组评审后同意通过验收。内蒙古晟能能源有限责任公司工业固废综合利用技术改造项目正在建设中，尚未进行验收。</w:t>
            </w:r>
          </w:p>
          <w:p>
            <w:pPr>
              <w:pStyle w:val="111"/>
              <w:ind w:firstLine="480"/>
              <w:rPr>
                <w:color w:val="000000"/>
              </w:rPr>
            </w:pPr>
            <w:r>
              <w:rPr>
                <w:rFonts w:hint="eastAsia"/>
              </w:rPr>
              <w:t>现有项目</w:t>
            </w:r>
            <w:r>
              <w:rPr>
                <w:bCs/>
                <w:color w:val="000000"/>
              </w:rPr>
              <w:t>占地面积</w:t>
            </w:r>
            <w:r>
              <w:rPr>
                <w:rFonts w:hint="eastAsia"/>
                <w:bCs/>
                <w:color w:val="000000"/>
              </w:rPr>
              <w:t>20002.55</w:t>
            </w:r>
            <w:r>
              <w:rPr>
                <w:bCs/>
                <w:color w:val="000000"/>
              </w:rPr>
              <w:t>m</w:t>
            </w:r>
            <w:r>
              <w:rPr>
                <w:bCs/>
                <w:color w:val="000000"/>
                <w:vertAlign w:val="superscript"/>
              </w:rPr>
              <w:t>2</w:t>
            </w:r>
            <w:r>
              <w:rPr>
                <w:bCs/>
                <w:color w:val="000000"/>
              </w:rPr>
              <w:t>。主要建设内容</w:t>
            </w:r>
            <w:r>
              <w:rPr>
                <w:rFonts w:hint="eastAsia"/>
                <w:bCs/>
                <w:color w:val="000000"/>
              </w:rPr>
              <w:t>包括生产车间1座、原料库1座、成品库1座、危废库1座等公辅工程。</w:t>
            </w:r>
            <w:r>
              <w:rPr>
                <w:rFonts w:hint="eastAsia"/>
                <w:color w:val="000000"/>
              </w:rPr>
              <w:t>年处理60万吨气化渣。</w:t>
            </w:r>
            <w:bookmarkStart w:id="62" w:name="_Hlk197327624"/>
            <w:r>
              <w:rPr>
                <w:rFonts w:hint="eastAsia"/>
              </w:rPr>
              <w:t>新建</w:t>
            </w:r>
            <w:r>
              <w:t>1</w:t>
            </w:r>
            <w:r>
              <w:rPr>
                <w:rFonts w:hint="eastAsia"/>
              </w:rPr>
              <w:t>套复合式烘干脱水设备，对多孔炭、煤泥进行进一步烘干脱水，年处理</w:t>
            </w:r>
            <w:r>
              <w:t>24.4</w:t>
            </w:r>
            <w:r>
              <w:rPr>
                <w:rFonts w:hint="eastAsia"/>
              </w:rPr>
              <w:t>万吨多孔炭脱水（低灰分多孔炭）及煤泥（高灰分多孔炭）。</w:t>
            </w:r>
            <w:bookmarkEnd w:id="62"/>
          </w:p>
          <w:p>
            <w:pPr>
              <w:pStyle w:val="111"/>
              <w:ind w:firstLine="482"/>
              <w:jc w:val="center"/>
              <w:rPr>
                <w:b/>
              </w:rPr>
            </w:pPr>
            <w:bookmarkStart w:id="63" w:name="OLE_LINK41"/>
            <w:bookmarkStart w:id="64" w:name="OLE_LINK40"/>
            <w:r>
              <w:rPr>
                <w:rFonts w:hint="eastAsia"/>
                <w:b/>
                <w:highlight w:val="yellow"/>
              </w:rPr>
              <w:t xml:space="preserve">表2-1 </w:t>
            </w:r>
            <w:bookmarkEnd w:id="63"/>
            <w:bookmarkEnd w:id="64"/>
            <w:bookmarkStart w:id="65" w:name="OLE_LINK21"/>
            <w:bookmarkStart w:id="66" w:name="OLE_LINK12"/>
            <w:r>
              <w:rPr>
                <w:rFonts w:hint="eastAsia"/>
                <w:b/>
                <w:highlight w:val="yellow"/>
              </w:rPr>
              <w:t>现有项目脱碳工序</w:t>
            </w:r>
            <w:r>
              <w:rPr>
                <w:b/>
                <w:highlight w:val="yellow"/>
              </w:rPr>
              <w:t>项目组成表</w:t>
            </w:r>
            <w:bookmarkEnd w:id="65"/>
            <w:bookmarkEnd w:id="66"/>
          </w:p>
          <w:tbl>
            <w:tblPr>
              <w:tblStyle w:val="2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863"/>
              <w:gridCol w:w="1479"/>
              <w:gridCol w:w="5427"/>
              <w:gridCol w:w="86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00" w:type="pct"/>
                  <w:tcBorders>
                    <w:top w:val="single" w:color="auto" w:sz="12" w:space="0"/>
                    <w:left w:val="nil"/>
                    <w:bottom w:val="single" w:color="auto" w:sz="4" w:space="0"/>
                    <w:right w:val="single" w:color="auto" w:sz="4" w:space="0"/>
                  </w:tcBorders>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类别</w:t>
                  </w:r>
                </w:p>
              </w:tc>
              <w:tc>
                <w:tcPr>
                  <w:tcW w:w="857" w:type="pct"/>
                  <w:tcBorders>
                    <w:top w:val="single" w:color="auto" w:sz="12"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内容</w:t>
                  </w:r>
                </w:p>
              </w:tc>
              <w:tc>
                <w:tcPr>
                  <w:tcW w:w="3144" w:type="pct"/>
                  <w:tcBorders>
                    <w:top w:val="single" w:color="auto" w:sz="12"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建设内容</w:t>
                  </w:r>
                </w:p>
              </w:tc>
              <w:tc>
                <w:tcPr>
                  <w:tcW w:w="499" w:type="pct"/>
                  <w:tcBorders>
                    <w:top w:val="single" w:color="auto" w:sz="12" w:space="0"/>
                    <w:left w:val="single" w:color="auto" w:sz="4" w:space="0"/>
                    <w:bottom w:val="single" w:color="auto" w:sz="4" w:space="0"/>
                    <w:right w:val="nil"/>
                  </w:tcBorders>
                  <w:vAlign w:val="center"/>
                </w:tcPr>
                <w:p>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016" w:hRule="atLeast"/>
                <w:jc w:val="center"/>
              </w:trPr>
              <w:tc>
                <w:tcPr>
                  <w:tcW w:w="500" w:type="pct"/>
                  <w:tcBorders>
                    <w:top w:val="single" w:color="auto" w:sz="4" w:space="0"/>
                    <w:left w:val="nil"/>
                    <w:bottom w:val="single" w:color="auto" w:sz="4" w:space="0"/>
                    <w:right w:val="single" w:color="auto" w:sz="4" w:space="0"/>
                  </w:tcBorders>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主体工程</w:t>
                  </w:r>
                </w:p>
              </w:tc>
              <w:tc>
                <w:tcPr>
                  <w:tcW w:w="857"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生产车间</w:t>
                  </w:r>
                </w:p>
              </w:tc>
              <w:tc>
                <w:tcPr>
                  <w:tcW w:w="3144"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1座，全封闭结构，设置旋流分离器、螺旋绞龙等设备，并设有1个192m</w:t>
                  </w:r>
                  <w:r>
                    <w:rPr>
                      <w:rFonts w:ascii="Times New Roman" w:hAnsi="Times New Roman" w:eastAsia="宋体" w:cs="Times New Roman"/>
                      <w:szCs w:val="21"/>
                      <w:vertAlign w:val="superscript"/>
                    </w:rPr>
                    <w:t>3</w:t>
                  </w:r>
                  <w:r>
                    <w:rPr>
                      <w:rFonts w:ascii="Times New Roman" w:hAnsi="Times New Roman" w:eastAsia="宋体" w:cs="Times New Roman"/>
                      <w:szCs w:val="21"/>
                    </w:rPr>
                    <w:t>炭上升池</w:t>
                  </w:r>
                </w:p>
              </w:tc>
              <w:tc>
                <w:tcPr>
                  <w:tcW w:w="499" w:type="pct"/>
                  <w:tcBorders>
                    <w:top w:val="single" w:color="auto" w:sz="4" w:space="0"/>
                    <w:left w:val="single" w:color="auto" w:sz="4" w:space="0"/>
                    <w:bottom w:val="single" w:color="auto" w:sz="4" w:space="0"/>
                    <w:right w:val="nil"/>
                  </w:tcBorders>
                  <w:vAlign w:val="center"/>
                </w:tcPr>
                <w:p>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已</w:t>
                  </w:r>
                  <w:r>
                    <w:rPr>
                      <w:rFonts w:ascii="Times New Roman" w:hAnsi="Times New Roman" w:eastAsia="宋体" w:cs="Times New Roman"/>
                      <w:szCs w:val="21"/>
                    </w:rPr>
                    <w:t>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00" w:type="pct"/>
                  <w:tcBorders>
                    <w:top w:val="single" w:color="auto" w:sz="4" w:space="0"/>
                    <w:left w:val="nil"/>
                    <w:bottom w:val="single" w:color="auto" w:sz="4" w:space="0"/>
                    <w:right w:val="single" w:color="auto" w:sz="4" w:space="0"/>
                  </w:tcBorders>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辅助工程</w:t>
                  </w:r>
                </w:p>
              </w:tc>
              <w:tc>
                <w:tcPr>
                  <w:tcW w:w="857"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浓缩池</w:t>
                  </w:r>
                </w:p>
              </w:tc>
              <w:tc>
                <w:tcPr>
                  <w:tcW w:w="3144"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设3座300m</w:t>
                  </w:r>
                  <w:r>
                    <w:rPr>
                      <w:rFonts w:ascii="Times New Roman" w:hAnsi="Times New Roman" w:eastAsia="宋体" w:cs="Times New Roman"/>
                      <w:szCs w:val="21"/>
                      <w:vertAlign w:val="superscript"/>
                    </w:rPr>
                    <w:t>3</w:t>
                  </w:r>
                  <w:r>
                    <w:rPr>
                      <w:rFonts w:ascii="Times New Roman" w:hAnsi="Times New Roman" w:eastAsia="宋体" w:cs="Times New Roman"/>
                      <w:szCs w:val="21"/>
                    </w:rPr>
                    <w:t>浓缩池，位于生产车间北侧，分别为低灰炭浓缩池、高灰分炭浓缩池、细泥浓缩池以及配套的800m</w:t>
                  </w:r>
                  <w:r>
                    <w:rPr>
                      <w:rFonts w:ascii="Times New Roman" w:hAnsi="Times New Roman" w:eastAsia="宋体" w:cs="Times New Roman"/>
                      <w:szCs w:val="21"/>
                      <w:vertAlign w:val="superscript"/>
                    </w:rPr>
                    <w:t>3</w:t>
                  </w:r>
                  <w:r>
                    <w:rPr>
                      <w:rFonts w:ascii="Times New Roman" w:hAnsi="Times New Roman" w:eastAsia="宋体" w:cs="Times New Roman"/>
                      <w:szCs w:val="21"/>
                    </w:rPr>
                    <w:t>循环池一座</w:t>
                  </w:r>
                </w:p>
              </w:tc>
              <w:tc>
                <w:tcPr>
                  <w:tcW w:w="499" w:type="pct"/>
                  <w:tcBorders>
                    <w:top w:val="single" w:color="auto" w:sz="4" w:space="0"/>
                    <w:left w:val="single" w:color="auto" w:sz="4" w:space="0"/>
                    <w:bottom w:val="single" w:color="auto" w:sz="4" w:space="0"/>
                    <w:right w:val="nil"/>
                  </w:tcBorders>
                  <w:vAlign w:val="center"/>
                </w:tcPr>
                <w:p>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已</w:t>
                  </w:r>
                  <w:r>
                    <w:rPr>
                      <w:rFonts w:ascii="Times New Roman" w:hAnsi="Times New Roman" w:eastAsia="宋体" w:cs="Times New Roman"/>
                      <w:szCs w:val="21"/>
                    </w:rPr>
                    <w:t>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00" w:type="pct"/>
                  <w:vMerge w:val="restart"/>
                  <w:tcBorders>
                    <w:top w:val="single" w:color="auto" w:sz="4" w:space="0"/>
                    <w:left w:val="nil"/>
                    <w:bottom w:val="single" w:color="auto" w:sz="4" w:space="0"/>
                    <w:right w:val="single" w:color="auto" w:sz="4" w:space="0"/>
                  </w:tcBorders>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储运工程</w:t>
                  </w:r>
                </w:p>
              </w:tc>
              <w:tc>
                <w:tcPr>
                  <w:tcW w:w="857"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原料库</w:t>
                  </w:r>
                </w:p>
              </w:tc>
              <w:tc>
                <w:tcPr>
                  <w:tcW w:w="3144"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1座全封闭结构，用于贮存气化渣，设置给料机、输送皮带、配料池（128m</w:t>
                  </w:r>
                  <w:r>
                    <w:rPr>
                      <w:rFonts w:ascii="Times New Roman" w:hAnsi="Times New Roman" w:eastAsia="宋体" w:cs="Times New Roman"/>
                      <w:szCs w:val="21"/>
                      <w:vertAlign w:val="superscript"/>
                    </w:rPr>
                    <w:t>3</w:t>
                  </w:r>
                  <w:r>
                    <w:rPr>
                      <w:rFonts w:ascii="Times New Roman" w:hAnsi="Times New Roman" w:eastAsia="宋体" w:cs="Times New Roman"/>
                      <w:szCs w:val="21"/>
                    </w:rPr>
                    <w:t>）等，完成原料储存和打浆稀释</w:t>
                  </w:r>
                </w:p>
              </w:tc>
              <w:tc>
                <w:tcPr>
                  <w:tcW w:w="499" w:type="pct"/>
                  <w:tcBorders>
                    <w:top w:val="single" w:color="auto" w:sz="4" w:space="0"/>
                    <w:left w:val="single" w:color="auto" w:sz="4" w:space="0"/>
                    <w:bottom w:val="single" w:color="auto" w:sz="4" w:space="0"/>
                    <w:right w:val="nil"/>
                  </w:tcBorders>
                  <w:vAlign w:val="center"/>
                </w:tcPr>
                <w:p>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已</w:t>
                  </w:r>
                  <w:r>
                    <w:rPr>
                      <w:rFonts w:ascii="Times New Roman" w:hAnsi="Times New Roman" w:eastAsia="宋体" w:cs="Times New Roman"/>
                      <w:szCs w:val="21"/>
                    </w:rPr>
                    <w:t>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00" w:type="pct"/>
                  <w:vMerge w:val="continue"/>
                  <w:tcBorders>
                    <w:top w:val="single" w:color="auto" w:sz="4" w:space="0"/>
                    <w:left w:val="nil"/>
                    <w:bottom w:val="single" w:color="auto" w:sz="4" w:space="0"/>
                    <w:right w:val="single" w:color="auto" w:sz="4" w:space="0"/>
                  </w:tcBorders>
                  <w:vAlign w:val="center"/>
                </w:tcPr>
                <w:p>
                  <w:pPr>
                    <w:widowControl/>
                    <w:jc w:val="center"/>
                    <w:rPr>
                      <w:rFonts w:ascii="Times New Roman" w:hAnsi="Times New Roman" w:eastAsia="宋体" w:cs="Times New Roman"/>
                      <w:szCs w:val="21"/>
                    </w:rPr>
                  </w:pPr>
                </w:p>
              </w:tc>
              <w:tc>
                <w:tcPr>
                  <w:tcW w:w="857"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成品库</w:t>
                  </w:r>
                </w:p>
              </w:tc>
              <w:tc>
                <w:tcPr>
                  <w:tcW w:w="3144"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1座全封闭结构，用于贮存多孔硅、多孔炭、细砂产品，固废细泥，各物料分区堆放贮存，设挡墙分隔。脱水振动筛、压滤机设置在成品库内，筛分、压滤后的物料直接由铲车运至各堆存区存放</w:t>
                  </w:r>
                </w:p>
              </w:tc>
              <w:tc>
                <w:tcPr>
                  <w:tcW w:w="499" w:type="pct"/>
                  <w:tcBorders>
                    <w:top w:val="single" w:color="auto" w:sz="4" w:space="0"/>
                    <w:left w:val="single" w:color="auto" w:sz="4" w:space="0"/>
                    <w:bottom w:val="single" w:color="auto" w:sz="4" w:space="0"/>
                    <w:right w:val="nil"/>
                  </w:tcBorders>
                  <w:vAlign w:val="center"/>
                </w:tcPr>
                <w:p>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已</w:t>
                  </w:r>
                  <w:r>
                    <w:rPr>
                      <w:rFonts w:ascii="Times New Roman" w:hAnsi="Times New Roman" w:eastAsia="宋体" w:cs="Times New Roman"/>
                      <w:szCs w:val="21"/>
                    </w:rPr>
                    <w:t>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00" w:type="pct"/>
                  <w:vMerge w:val="restart"/>
                  <w:tcBorders>
                    <w:top w:val="single" w:color="auto" w:sz="4" w:space="0"/>
                    <w:left w:val="nil"/>
                    <w:bottom w:val="single" w:color="auto" w:sz="4" w:space="0"/>
                    <w:right w:val="single" w:color="auto" w:sz="4" w:space="0"/>
                  </w:tcBorders>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公用工程</w:t>
                  </w:r>
                </w:p>
              </w:tc>
              <w:tc>
                <w:tcPr>
                  <w:tcW w:w="857"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供电</w:t>
                  </w:r>
                </w:p>
              </w:tc>
              <w:tc>
                <w:tcPr>
                  <w:tcW w:w="3144"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依托园区电网</w:t>
                  </w:r>
                </w:p>
              </w:tc>
              <w:tc>
                <w:tcPr>
                  <w:tcW w:w="499" w:type="pct"/>
                  <w:tcBorders>
                    <w:top w:val="single" w:color="auto" w:sz="4" w:space="0"/>
                    <w:left w:val="single" w:color="auto" w:sz="4" w:space="0"/>
                    <w:bottom w:val="single" w:color="auto" w:sz="4" w:space="0"/>
                    <w:right w:val="nil"/>
                  </w:tcBorders>
                  <w:vAlign w:val="center"/>
                </w:tcPr>
                <w:p>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已</w:t>
                  </w:r>
                  <w:r>
                    <w:rPr>
                      <w:rFonts w:ascii="Times New Roman" w:hAnsi="Times New Roman" w:eastAsia="宋体" w:cs="Times New Roman"/>
                      <w:szCs w:val="21"/>
                    </w:rPr>
                    <w:t>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00" w:type="pct"/>
                  <w:vMerge w:val="continue"/>
                  <w:tcBorders>
                    <w:top w:val="single" w:color="auto" w:sz="4" w:space="0"/>
                    <w:left w:val="nil"/>
                    <w:bottom w:val="single" w:color="auto" w:sz="4" w:space="0"/>
                    <w:right w:val="single" w:color="auto" w:sz="4" w:space="0"/>
                  </w:tcBorders>
                  <w:vAlign w:val="center"/>
                </w:tcPr>
                <w:p>
                  <w:pPr>
                    <w:widowControl/>
                    <w:jc w:val="center"/>
                    <w:rPr>
                      <w:rFonts w:ascii="Times New Roman" w:hAnsi="Times New Roman" w:eastAsia="宋体" w:cs="Times New Roman"/>
                      <w:szCs w:val="21"/>
                    </w:rPr>
                  </w:pPr>
                </w:p>
              </w:tc>
              <w:tc>
                <w:tcPr>
                  <w:tcW w:w="857"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供排水</w:t>
                  </w:r>
                </w:p>
              </w:tc>
              <w:tc>
                <w:tcPr>
                  <w:tcW w:w="3144"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生产用水和生活用水由园区供应。用水池和供水池合并成一个800 m</w:t>
                  </w:r>
                  <w:r>
                    <w:rPr>
                      <w:rFonts w:ascii="Times New Roman" w:hAnsi="Times New Roman" w:eastAsia="宋体" w:cs="Times New Roman"/>
                      <w:szCs w:val="21"/>
                      <w:vertAlign w:val="superscript"/>
                    </w:rPr>
                    <w:t>3</w:t>
                  </w:r>
                  <w:r>
                    <w:rPr>
                      <w:rFonts w:ascii="Times New Roman" w:hAnsi="Times New Roman" w:eastAsia="宋体" w:cs="Times New Roman"/>
                      <w:szCs w:val="21"/>
                    </w:rPr>
                    <w:t>循环池，生产用水循环使用，不外排。生活污水化粪池收集后由达拉特旗宏腾物业管理有限责任公司拉运至园区污水处理厂。</w:t>
                  </w:r>
                </w:p>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设80m</w:t>
                  </w:r>
                  <w:r>
                    <w:rPr>
                      <w:rFonts w:ascii="Times New Roman" w:hAnsi="Times New Roman" w:eastAsia="宋体" w:cs="Times New Roman"/>
                      <w:szCs w:val="21"/>
                      <w:vertAlign w:val="superscript"/>
                    </w:rPr>
                    <w:t>3</w:t>
                  </w:r>
                  <w:r>
                    <w:rPr>
                      <w:rFonts w:ascii="Times New Roman" w:hAnsi="Times New Roman" w:eastAsia="宋体" w:cs="Times New Roman"/>
                      <w:szCs w:val="21"/>
                    </w:rPr>
                    <w:t>初期雨水池收集初期雨水</w:t>
                  </w:r>
                </w:p>
              </w:tc>
              <w:tc>
                <w:tcPr>
                  <w:tcW w:w="499" w:type="pct"/>
                  <w:tcBorders>
                    <w:top w:val="single" w:color="auto" w:sz="4" w:space="0"/>
                    <w:left w:val="single" w:color="auto" w:sz="4" w:space="0"/>
                    <w:bottom w:val="single" w:color="auto" w:sz="4" w:space="0"/>
                    <w:right w:val="nil"/>
                  </w:tcBorders>
                  <w:vAlign w:val="center"/>
                </w:tcPr>
                <w:p>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已</w:t>
                  </w:r>
                  <w:r>
                    <w:rPr>
                      <w:rFonts w:ascii="Times New Roman" w:hAnsi="Times New Roman" w:eastAsia="宋体" w:cs="Times New Roman"/>
                      <w:szCs w:val="21"/>
                    </w:rPr>
                    <w:t>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00" w:type="pct"/>
                  <w:vMerge w:val="continue"/>
                  <w:tcBorders>
                    <w:top w:val="single" w:color="auto" w:sz="4" w:space="0"/>
                    <w:left w:val="nil"/>
                    <w:bottom w:val="single" w:color="auto" w:sz="4" w:space="0"/>
                    <w:right w:val="single" w:color="auto" w:sz="4" w:space="0"/>
                  </w:tcBorders>
                  <w:vAlign w:val="center"/>
                </w:tcPr>
                <w:p>
                  <w:pPr>
                    <w:widowControl/>
                    <w:jc w:val="center"/>
                    <w:rPr>
                      <w:rFonts w:ascii="Times New Roman" w:hAnsi="Times New Roman" w:eastAsia="宋体" w:cs="Times New Roman"/>
                      <w:szCs w:val="21"/>
                    </w:rPr>
                  </w:pPr>
                </w:p>
              </w:tc>
              <w:tc>
                <w:tcPr>
                  <w:tcW w:w="857"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供热</w:t>
                  </w:r>
                </w:p>
              </w:tc>
              <w:tc>
                <w:tcPr>
                  <w:tcW w:w="3144"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依托园区供暖</w:t>
                  </w:r>
                </w:p>
              </w:tc>
              <w:tc>
                <w:tcPr>
                  <w:tcW w:w="499" w:type="pct"/>
                  <w:tcBorders>
                    <w:top w:val="single" w:color="auto" w:sz="4" w:space="0"/>
                    <w:left w:val="single" w:color="auto" w:sz="4" w:space="0"/>
                    <w:bottom w:val="single" w:color="auto" w:sz="4" w:space="0"/>
                    <w:right w:val="nil"/>
                  </w:tcBorders>
                  <w:vAlign w:val="center"/>
                </w:tcPr>
                <w:p>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已</w:t>
                  </w:r>
                  <w:r>
                    <w:rPr>
                      <w:rFonts w:ascii="Times New Roman" w:hAnsi="Times New Roman" w:eastAsia="宋体" w:cs="Times New Roman"/>
                      <w:szCs w:val="21"/>
                    </w:rPr>
                    <w:t>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00" w:type="pct"/>
                  <w:vMerge w:val="restart"/>
                  <w:tcBorders>
                    <w:top w:val="single" w:color="auto" w:sz="4" w:space="0"/>
                    <w:left w:val="nil"/>
                    <w:bottom w:val="single" w:color="auto" w:sz="4" w:space="0"/>
                    <w:right w:val="single" w:color="auto" w:sz="4" w:space="0"/>
                  </w:tcBorders>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附属工程</w:t>
                  </w:r>
                </w:p>
              </w:tc>
              <w:tc>
                <w:tcPr>
                  <w:tcW w:w="857"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办公楼</w:t>
                  </w:r>
                </w:p>
              </w:tc>
              <w:tc>
                <w:tcPr>
                  <w:tcW w:w="3144"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新建办公楼一座</w:t>
                  </w:r>
                </w:p>
              </w:tc>
              <w:tc>
                <w:tcPr>
                  <w:tcW w:w="499" w:type="pct"/>
                  <w:tcBorders>
                    <w:top w:val="single" w:color="auto" w:sz="4" w:space="0"/>
                    <w:left w:val="single" w:color="auto" w:sz="4" w:space="0"/>
                    <w:bottom w:val="single" w:color="auto" w:sz="4" w:space="0"/>
                    <w:right w:val="nil"/>
                  </w:tcBorders>
                  <w:vAlign w:val="center"/>
                </w:tcPr>
                <w:p>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已</w:t>
                  </w:r>
                  <w:r>
                    <w:rPr>
                      <w:rFonts w:ascii="Times New Roman" w:hAnsi="Times New Roman" w:eastAsia="宋体" w:cs="Times New Roman"/>
                      <w:szCs w:val="21"/>
                    </w:rPr>
                    <w:t>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00" w:type="pct"/>
                  <w:vMerge w:val="continue"/>
                  <w:tcBorders>
                    <w:top w:val="single" w:color="auto" w:sz="4" w:space="0"/>
                    <w:left w:val="nil"/>
                    <w:bottom w:val="single" w:color="auto" w:sz="4" w:space="0"/>
                    <w:right w:val="single" w:color="auto" w:sz="4" w:space="0"/>
                  </w:tcBorders>
                  <w:vAlign w:val="center"/>
                </w:tcPr>
                <w:p>
                  <w:pPr>
                    <w:widowControl/>
                    <w:jc w:val="center"/>
                    <w:rPr>
                      <w:rFonts w:ascii="Times New Roman" w:hAnsi="Times New Roman" w:eastAsia="宋体" w:cs="Times New Roman"/>
                      <w:szCs w:val="21"/>
                    </w:rPr>
                  </w:pPr>
                </w:p>
              </w:tc>
              <w:tc>
                <w:tcPr>
                  <w:tcW w:w="857"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餐厅</w:t>
                  </w:r>
                </w:p>
              </w:tc>
              <w:tc>
                <w:tcPr>
                  <w:tcW w:w="3144"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color w:val="FF0000"/>
                      <w:szCs w:val="21"/>
                    </w:rPr>
                    <w:t>新建餐厅</w:t>
                  </w:r>
                  <w:r>
                    <w:rPr>
                      <w:rFonts w:ascii="Times New Roman" w:hAnsi="Times New Roman" w:eastAsia="宋体" w:cs="Times New Roman"/>
                      <w:szCs w:val="21"/>
                    </w:rPr>
                    <w:t>一座</w:t>
                  </w:r>
                </w:p>
              </w:tc>
              <w:tc>
                <w:tcPr>
                  <w:tcW w:w="499" w:type="pct"/>
                  <w:tcBorders>
                    <w:top w:val="single" w:color="auto" w:sz="4" w:space="0"/>
                    <w:left w:val="single" w:color="auto" w:sz="4" w:space="0"/>
                    <w:bottom w:val="single" w:color="auto" w:sz="4" w:space="0"/>
                    <w:right w:val="nil"/>
                  </w:tcBorders>
                  <w:vAlign w:val="center"/>
                </w:tcPr>
                <w:p>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已</w:t>
                  </w:r>
                  <w:r>
                    <w:rPr>
                      <w:rFonts w:ascii="Times New Roman" w:hAnsi="Times New Roman" w:eastAsia="宋体" w:cs="Times New Roman"/>
                      <w:szCs w:val="21"/>
                    </w:rPr>
                    <w:t>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00" w:type="pct"/>
                  <w:vMerge w:val="continue"/>
                  <w:tcBorders>
                    <w:top w:val="single" w:color="auto" w:sz="4" w:space="0"/>
                    <w:left w:val="nil"/>
                    <w:bottom w:val="single" w:color="auto" w:sz="4" w:space="0"/>
                    <w:right w:val="single" w:color="auto" w:sz="4" w:space="0"/>
                  </w:tcBorders>
                  <w:vAlign w:val="center"/>
                </w:tcPr>
                <w:p>
                  <w:pPr>
                    <w:widowControl/>
                    <w:jc w:val="center"/>
                    <w:rPr>
                      <w:rFonts w:ascii="Times New Roman" w:hAnsi="Times New Roman" w:eastAsia="宋体" w:cs="Times New Roman"/>
                      <w:szCs w:val="21"/>
                    </w:rPr>
                  </w:pPr>
                </w:p>
              </w:tc>
              <w:tc>
                <w:tcPr>
                  <w:tcW w:w="857"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宿舍楼</w:t>
                  </w:r>
                </w:p>
              </w:tc>
              <w:tc>
                <w:tcPr>
                  <w:tcW w:w="3144"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新建宿舍楼一座</w:t>
                  </w:r>
                </w:p>
              </w:tc>
              <w:tc>
                <w:tcPr>
                  <w:tcW w:w="499" w:type="pct"/>
                  <w:tcBorders>
                    <w:top w:val="single" w:color="auto" w:sz="4" w:space="0"/>
                    <w:left w:val="single" w:color="auto" w:sz="4" w:space="0"/>
                    <w:bottom w:val="single" w:color="auto" w:sz="4" w:space="0"/>
                    <w:right w:val="nil"/>
                  </w:tcBorders>
                  <w:vAlign w:val="center"/>
                </w:tcPr>
                <w:p>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已</w:t>
                  </w:r>
                  <w:r>
                    <w:rPr>
                      <w:rFonts w:ascii="Times New Roman" w:hAnsi="Times New Roman" w:eastAsia="宋体" w:cs="Times New Roman"/>
                      <w:szCs w:val="21"/>
                    </w:rPr>
                    <w:t>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00" w:type="pct"/>
                  <w:vMerge w:val="restart"/>
                  <w:tcBorders>
                    <w:top w:val="single" w:color="auto" w:sz="4" w:space="0"/>
                    <w:left w:val="nil"/>
                    <w:bottom w:val="single" w:color="auto" w:sz="12" w:space="0"/>
                    <w:right w:val="single" w:color="auto" w:sz="4" w:space="0"/>
                  </w:tcBorders>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环保工程</w:t>
                  </w:r>
                </w:p>
              </w:tc>
              <w:tc>
                <w:tcPr>
                  <w:tcW w:w="857"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废气处理</w:t>
                  </w:r>
                </w:p>
              </w:tc>
              <w:tc>
                <w:tcPr>
                  <w:tcW w:w="3144"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原料洒水保持湿度60%以上，原料库全封闭。食堂设置油烟净化器。生产车间与原料库、成品库全部为全封闭式</w:t>
                  </w:r>
                </w:p>
              </w:tc>
              <w:tc>
                <w:tcPr>
                  <w:tcW w:w="499" w:type="pct"/>
                  <w:tcBorders>
                    <w:top w:val="single" w:color="auto" w:sz="4" w:space="0"/>
                    <w:left w:val="single" w:color="auto" w:sz="4" w:space="0"/>
                    <w:bottom w:val="single" w:color="auto" w:sz="4" w:space="0"/>
                    <w:right w:val="nil"/>
                  </w:tcBorders>
                  <w:vAlign w:val="center"/>
                </w:tcPr>
                <w:p>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已</w:t>
                  </w:r>
                  <w:r>
                    <w:rPr>
                      <w:rFonts w:ascii="Times New Roman" w:hAnsi="Times New Roman" w:eastAsia="宋体" w:cs="Times New Roman"/>
                      <w:szCs w:val="21"/>
                    </w:rPr>
                    <w:t>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00" w:type="pct"/>
                  <w:vMerge w:val="continue"/>
                  <w:tcBorders>
                    <w:top w:val="single" w:color="auto" w:sz="4" w:space="0"/>
                    <w:left w:val="nil"/>
                    <w:bottom w:val="single" w:color="auto" w:sz="12" w:space="0"/>
                    <w:right w:val="single" w:color="auto" w:sz="4" w:space="0"/>
                  </w:tcBorders>
                  <w:vAlign w:val="center"/>
                </w:tcPr>
                <w:p>
                  <w:pPr>
                    <w:widowControl/>
                    <w:jc w:val="center"/>
                    <w:rPr>
                      <w:rFonts w:ascii="Times New Roman" w:hAnsi="Times New Roman" w:eastAsia="宋体" w:cs="Times New Roman"/>
                      <w:szCs w:val="21"/>
                    </w:rPr>
                  </w:pPr>
                </w:p>
              </w:tc>
              <w:tc>
                <w:tcPr>
                  <w:tcW w:w="857"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废水处理</w:t>
                  </w:r>
                </w:p>
              </w:tc>
              <w:tc>
                <w:tcPr>
                  <w:tcW w:w="3144"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生产用水循环使用，不外排。生活污水化粪池收集后由达拉特旗宏腾物业管理有限责任公司拉运至园区污水处理厂。</w:t>
                  </w:r>
                </w:p>
              </w:tc>
              <w:tc>
                <w:tcPr>
                  <w:tcW w:w="499" w:type="pct"/>
                  <w:tcBorders>
                    <w:top w:val="single" w:color="auto" w:sz="4" w:space="0"/>
                    <w:left w:val="single" w:color="auto" w:sz="4" w:space="0"/>
                    <w:bottom w:val="single" w:color="auto" w:sz="4" w:space="0"/>
                    <w:right w:val="nil"/>
                  </w:tcBorders>
                  <w:vAlign w:val="center"/>
                </w:tcPr>
                <w:p>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已</w:t>
                  </w:r>
                  <w:r>
                    <w:rPr>
                      <w:rFonts w:ascii="Times New Roman" w:hAnsi="Times New Roman" w:eastAsia="宋体" w:cs="Times New Roman"/>
                      <w:szCs w:val="21"/>
                    </w:rPr>
                    <w:t>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53" w:hRule="atLeast"/>
                <w:jc w:val="center"/>
              </w:trPr>
              <w:tc>
                <w:tcPr>
                  <w:tcW w:w="500" w:type="pct"/>
                  <w:vMerge w:val="continue"/>
                  <w:tcBorders>
                    <w:top w:val="single" w:color="auto" w:sz="4" w:space="0"/>
                    <w:left w:val="nil"/>
                    <w:bottom w:val="single" w:color="auto" w:sz="12" w:space="0"/>
                    <w:right w:val="single" w:color="auto" w:sz="4" w:space="0"/>
                  </w:tcBorders>
                  <w:vAlign w:val="center"/>
                </w:tcPr>
                <w:p>
                  <w:pPr>
                    <w:widowControl/>
                    <w:jc w:val="center"/>
                    <w:rPr>
                      <w:rFonts w:ascii="Times New Roman" w:hAnsi="Times New Roman" w:eastAsia="宋体" w:cs="Times New Roman"/>
                      <w:szCs w:val="21"/>
                    </w:rPr>
                  </w:pPr>
                </w:p>
              </w:tc>
              <w:tc>
                <w:tcPr>
                  <w:tcW w:w="857"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固体废物处理</w:t>
                  </w:r>
                </w:p>
              </w:tc>
              <w:tc>
                <w:tcPr>
                  <w:tcW w:w="3144"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细泥送往内蒙古亿利冀东水泥有限责任公司、内蒙古宇翼环保科技开发有限责任公司处置，已签合同。回用水池底泥一年清理一次，送细泥浓缩池浓缩后与细泥一起处置。设备维护过程中产生的废机油与废油桶暂存在危废库，委托内蒙古忠信再生资源科技有限责任公司处理。生活垃圾由环卫部门清运。厂区内设置一间20m</w:t>
                  </w:r>
                  <w:r>
                    <w:rPr>
                      <w:rFonts w:ascii="Times New Roman" w:hAnsi="Times New Roman" w:eastAsia="宋体" w:cs="Times New Roman"/>
                      <w:szCs w:val="21"/>
                      <w:vertAlign w:val="superscript"/>
                    </w:rPr>
                    <w:t>2</w:t>
                  </w:r>
                  <w:r>
                    <w:rPr>
                      <w:rFonts w:ascii="Times New Roman" w:hAnsi="Times New Roman" w:eastAsia="宋体" w:cs="Times New Roman"/>
                      <w:szCs w:val="21"/>
                    </w:rPr>
                    <w:t>危废库，用于暂存运营期间产生的废机油等</w:t>
                  </w:r>
                </w:p>
              </w:tc>
              <w:tc>
                <w:tcPr>
                  <w:tcW w:w="499" w:type="pct"/>
                  <w:tcBorders>
                    <w:top w:val="single" w:color="auto" w:sz="4" w:space="0"/>
                    <w:left w:val="single" w:color="auto" w:sz="4" w:space="0"/>
                    <w:bottom w:val="single" w:color="auto" w:sz="4" w:space="0"/>
                    <w:right w:val="nil"/>
                  </w:tcBorders>
                  <w:vAlign w:val="center"/>
                </w:tcPr>
                <w:p>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已</w:t>
                  </w:r>
                  <w:r>
                    <w:rPr>
                      <w:rFonts w:ascii="Times New Roman" w:hAnsi="Times New Roman" w:eastAsia="宋体" w:cs="Times New Roman"/>
                      <w:szCs w:val="21"/>
                    </w:rPr>
                    <w:t>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53" w:hRule="atLeast"/>
                <w:jc w:val="center"/>
              </w:trPr>
              <w:tc>
                <w:tcPr>
                  <w:tcW w:w="500" w:type="pct"/>
                  <w:vMerge w:val="continue"/>
                  <w:tcBorders>
                    <w:top w:val="single" w:color="auto" w:sz="4" w:space="0"/>
                    <w:left w:val="nil"/>
                    <w:bottom w:val="single" w:color="auto" w:sz="12" w:space="0"/>
                    <w:right w:val="single" w:color="auto" w:sz="4" w:space="0"/>
                  </w:tcBorders>
                  <w:vAlign w:val="center"/>
                </w:tcPr>
                <w:p>
                  <w:pPr>
                    <w:widowControl/>
                    <w:jc w:val="center"/>
                    <w:rPr>
                      <w:rFonts w:ascii="Times New Roman" w:hAnsi="Times New Roman" w:eastAsia="宋体" w:cs="Times New Roman"/>
                      <w:szCs w:val="21"/>
                    </w:rPr>
                  </w:pPr>
                </w:p>
              </w:tc>
              <w:tc>
                <w:tcPr>
                  <w:tcW w:w="857"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噪声</w:t>
                  </w:r>
                </w:p>
              </w:tc>
              <w:tc>
                <w:tcPr>
                  <w:tcW w:w="3144" w:type="pct"/>
                  <w:tcBorders>
                    <w:top w:val="single" w:color="auto" w:sz="4" w:space="0"/>
                    <w:left w:val="single" w:color="auto" w:sz="4" w:space="0"/>
                    <w:bottom w:val="single" w:color="auto" w:sz="4" w:space="0"/>
                    <w:right w:val="single" w:color="auto" w:sz="4" w:space="0"/>
                  </w:tcBorders>
                  <w:vAlign w:val="center"/>
                </w:tcPr>
                <w:p>
                  <w:pPr>
                    <w:adjustRightInd w:val="0"/>
                    <w:snapToGrid w:val="0"/>
                    <w:jc w:val="center"/>
                    <w:rPr>
                      <w:rFonts w:ascii="Times New Roman" w:hAnsi="Times New Roman" w:eastAsia="宋体" w:cs="Times New Roman"/>
                      <w:bCs/>
                      <w:szCs w:val="21"/>
                    </w:rPr>
                  </w:pPr>
                  <w:r>
                    <w:rPr>
                      <w:rFonts w:ascii="Times New Roman" w:hAnsi="Times New Roman" w:eastAsia="宋体" w:cs="Times New Roman"/>
                      <w:bCs/>
                      <w:szCs w:val="21"/>
                    </w:rPr>
                    <w:t>采用厂房隔声、减振、距离衰减等措施</w:t>
                  </w:r>
                </w:p>
              </w:tc>
              <w:tc>
                <w:tcPr>
                  <w:tcW w:w="499" w:type="pct"/>
                  <w:tcBorders>
                    <w:top w:val="single" w:color="auto" w:sz="4" w:space="0"/>
                    <w:left w:val="single" w:color="auto" w:sz="4" w:space="0"/>
                    <w:bottom w:val="single" w:color="auto" w:sz="4" w:space="0"/>
                    <w:right w:val="nil"/>
                  </w:tcBorders>
                  <w:vAlign w:val="center"/>
                </w:tcPr>
                <w:p>
                  <w:pPr>
                    <w:adjustRightInd w:val="0"/>
                    <w:snapToGrid w:val="0"/>
                    <w:jc w:val="center"/>
                    <w:rPr>
                      <w:rFonts w:ascii="Times New Roman" w:hAnsi="Times New Roman" w:eastAsia="宋体" w:cs="Times New Roman"/>
                      <w:bCs/>
                      <w:szCs w:val="21"/>
                    </w:rPr>
                  </w:pPr>
                  <w:r>
                    <w:rPr>
                      <w:rFonts w:hint="eastAsia" w:ascii="Times New Roman" w:hAnsi="Times New Roman" w:eastAsia="宋体" w:cs="Times New Roman"/>
                      <w:szCs w:val="21"/>
                    </w:rPr>
                    <w:t>已</w:t>
                  </w:r>
                  <w:r>
                    <w:rPr>
                      <w:rFonts w:ascii="Times New Roman" w:hAnsi="Times New Roman" w:eastAsia="宋体" w:cs="Times New Roman"/>
                      <w:szCs w:val="21"/>
                    </w:rPr>
                    <w:t>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53" w:hRule="atLeast"/>
                <w:jc w:val="center"/>
              </w:trPr>
              <w:tc>
                <w:tcPr>
                  <w:tcW w:w="500" w:type="pct"/>
                  <w:vMerge w:val="continue"/>
                  <w:tcBorders>
                    <w:top w:val="single" w:color="auto" w:sz="4" w:space="0"/>
                    <w:left w:val="nil"/>
                    <w:bottom w:val="single" w:color="auto" w:sz="12" w:space="0"/>
                    <w:right w:val="single" w:color="auto" w:sz="4" w:space="0"/>
                  </w:tcBorders>
                  <w:vAlign w:val="center"/>
                </w:tcPr>
                <w:p>
                  <w:pPr>
                    <w:widowControl/>
                    <w:jc w:val="center"/>
                    <w:rPr>
                      <w:rFonts w:ascii="Times New Roman" w:hAnsi="Times New Roman" w:eastAsia="宋体" w:cs="Times New Roman"/>
                      <w:szCs w:val="21"/>
                    </w:rPr>
                  </w:pPr>
                </w:p>
              </w:tc>
              <w:tc>
                <w:tcPr>
                  <w:tcW w:w="857" w:type="pct"/>
                  <w:tcBorders>
                    <w:top w:val="single" w:color="auto" w:sz="4" w:space="0"/>
                    <w:left w:val="single" w:color="auto" w:sz="4" w:space="0"/>
                    <w:bottom w:val="single" w:color="auto" w:sz="12" w:space="0"/>
                    <w:right w:val="single" w:color="auto" w:sz="4" w:space="0"/>
                  </w:tcBorders>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防渗</w:t>
                  </w:r>
                </w:p>
              </w:tc>
              <w:tc>
                <w:tcPr>
                  <w:tcW w:w="3144" w:type="pct"/>
                  <w:tcBorders>
                    <w:top w:val="single" w:color="auto" w:sz="4" w:space="0"/>
                    <w:left w:val="single" w:color="auto" w:sz="4" w:space="0"/>
                    <w:bottom w:val="single" w:color="auto" w:sz="12" w:space="0"/>
                    <w:right w:val="single" w:color="auto" w:sz="4" w:space="0"/>
                  </w:tcBorders>
                  <w:vAlign w:val="center"/>
                </w:tcPr>
                <w:p>
                  <w:pPr>
                    <w:adjustRightInd w:val="0"/>
                    <w:snapToGrid w:val="0"/>
                    <w:jc w:val="center"/>
                    <w:rPr>
                      <w:rFonts w:ascii="Times New Roman" w:hAnsi="Times New Roman" w:eastAsia="宋体" w:cs="Times New Roman"/>
                      <w:bCs/>
                      <w:szCs w:val="21"/>
                    </w:rPr>
                  </w:pPr>
                  <w:r>
                    <w:rPr>
                      <w:rFonts w:hint="eastAsia" w:ascii="宋体" w:hAnsi="宋体" w:eastAsia="宋体" w:cs="宋体"/>
                      <w:bCs/>
                      <w:szCs w:val="21"/>
                    </w:rPr>
                    <w:t>①</w:t>
                  </w:r>
                  <w:r>
                    <w:rPr>
                      <w:rFonts w:ascii="Times New Roman" w:hAnsi="Times New Roman" w:eastAsia="宋体" w:cs="Times New Roman"/>
                      <w:bCs/>
                      <w:szCs w:val="21"/>
                    </w:rPr>
                    <w:t>重点防渗区：危废库，采用2mm厚高密度聚乙烯膜+20mm 厚水泥砂浆+防水防腐涂料，渗透系数≤10</w:t>
                  </w:r>
                  <w:r>
                    <w:rPr>
                      <w:rFonts w:ascii="Times New Roman" w:hAnsi="Times New Roman" w:eastAsia="宋体" w:cs="Times New Roman"/>
                      <w:bCs/>
                      <w:szCs w:val="21"/>
                      <w:vertAlign w:val="superscript"/>
                    </w:rPr>
                    <w:t>-10</w:t>
                  </w:r>
                  <w:r>
                    <w:rPr>
                      <w:rFonts w:ascii="Times New Roman" w:hAnsi="Times New Roman" w:eastAsia="宋体" w:cs="Times New Roman"/>
                      <w:bCs/>
                      <w:szCs w:val="21"/>
                    </w:rPr>
                    <w:t>cm/s</w:t>
                  </w:r>
                </w:p>
                <w:p>
                  <w:pPr>
                    <w:adjustRightInd w:val="0"/>
                    <w:snapToGrid w:val="0"/>
                    <w:jc w:val="center"/>
                    <w:rPr>
                      <w:rFonts w:ascii="Times New Roman" w:hAnsi="Times New Roman" w:eastAsia="宋体" w:cs="Times New Roman"/>
                      <w:bCs/>
                      <w:szCs w:val="21"/>
                    </w:rPr>
                  </w:pPr>
                  <w:r>
                    <w:rPr>
                      <w:rFonts w:hint="eastAsia" w:ascii="宋体" w:hAnsi="宋体" w:eastAsia="宋体" w:cs="宋体"/>
                      <w:bCs/>
                      <w:szCs w:val="21"/>
                    </w:rPr>
                    <w:t>②</w:t>
                  </w:r>
                  <w:r>
                    <w:rPr>
                      <w:rFonts w:ascii="Times New Roman" w:hAnsi="Times New Roman" w:eastAsia="宋体" w:cs="Times New Roman"/>
                      <w:bCs/>
                      <w:szCs w:val="21"/>
                    </w:rPr>
                    <w:t>一般防渗区：包括3个浓缩池、循环池、配料池、炭上升池、初期雨水池、生产车间地面、成品库及原料库地面，采用抗渗混凝土+防水砂浆，渗透系 数≤1×10</w:t>
                  </w:r>
                  <w:r>
                    <w:rPr>
                      <w:rFonts w:ascii="Times New Roman" w:hAnsi="Times New Roman" w:eastAsia="宋体" w:cs="Times New Roman"/>
                      <w:bCs/>
                      <w:szCs w:val="21"/>
                      <w:vertAlign w:val="superscript"/>
                    </w:rPr>
                    <w:t>-7</w:t>
                  </w:r>
                  <w:r>
                    <w:rPr>
                      <w:rFonts w:ascii="Times New Roman" w:hAnsi="Times New Roman" w:eastAsia="宋体" w:cs="Times New Roman"/>
                      <w:bCs/>
                      <w:szCs w:val="21"/>
                    </w:rPr>
                    <w:t>cm/s。</w:t>
                  </w:r>
                </w:p>
                <w:p>
                  <w:pPr>
                    <w:adjustRightInd w:val="0"/>
                    <w:snapToGrid w:val="0"/>
                    <w:jc w:val="center"/>
                    <w:rPr>
                      <w:rFonts w:ascii="Times New Roman" w:hAnsi="Times New Roman" w:eastAsia="宋体" w:cs="Times New Roman"/>
                      <w:bCs/>
                      <w:szCs w:val="21"/>
                    </w:rPr>
                  </w:pPr>
                  <w:r>
                    <w:rPr>
                      <w:rFonts w:hint="eastAsia" w:ascii="宋体" w:hAnsi="宋体" w:eastAsia="宋体" w:cs="宋体"/>
                      <w:bCs/>
                      <w:szCs w:val="21"/>
                    </w:rPr>
                    <w:t>③</w:t>
                  </w:r>
                  <w:r>
                    <w:rPr>
                      <w:rFonts w:ascii="Times New Roman" w:hAnsi="Times New Roman" w:eastAsia="宋体" w:cs="Times New Roman"/>
                      <w:bCs/>
                      <w:szCs w:val="21"/>
                    </w:rPr>
                    <w:t>简单防渗区：办公区、配电室，采用一般地面硬化</w:t>
                  </w:r>
                </w:p>
              </w:tc>
              <w:tc>
                <w:tcPr>
                  <w:tcW w:w="499" w:type="pct"/>
                  <w:tcBorders>
                    <w:top w:val="single" w:color="auto" w:sz="4" w:space="0"/>
                    <w:left w:val="single" w:color="auto" w:sz="4" w:space="0"/>
                    <w:bottom w:val="single" w:color="auto" w:sz="12" w:space="0"/>
                    <w:right w:val="nil"/>
                  </w:tcBorders>
                  <w:vAlign w:val="center"/>
                </w:tcPr>
                <w:p>
                  <w:pPr>
                    <w:adjustRightInd w:val="0"/>
                    <w:snapToGrid w:val="0"/>
                    <w:jc w:val="center"/>
                    <w:rPr>
                      <w:rFonts w:ascii="Times New Roman" w:hAnsi="Times New Roman" w:eastAsia="宋体" w:cs="Times New Roman"/>
                      <w:bCs/>
                      <w:szCs w:val="21"/>
                    </w:rPr>
                  </w:pPr>
                  <w:r>
                    <w:rPr>
                      <w:rFonts w:hint="eastAsia" w:ascii="Times New Roman" w:hAnsi="Times New Roman" w:eastAsia="宋体" w:cs="Times New Roman"/>
                      <w:szCs w:val="21"/>
                    </w:rPr>
                    <w:t>已</w:t>
                  </w:r>
                  <w:r>
                    <w:rPr>
                      <w:rFonts w:ascii="Times New Roman" w:hAnsi="Times New Roman" w:eastAsia="宋体" w:cs="Times New Roman"/>
                      <w:szCs w:val="21"/>
                    </w:rPr>
                    <w:t>建</w:t>
                  </w:r>
                </w:p>
              </w:tc>
            </w:tr>
          </w:tbl>
          <w:p>
            <w:pPr>
              <w:pStyle w:val="111"/>
              <w:ind w:firstLine="482"/>
              <w:jc w:val="center"/>
              <w:rPr>
                <w:b/>
              </w:rPr>
            </w:pPr>
            <w:r>
              <w:rPr>
                <w:rFonts w:hint="eastAsia"/>
                <w:b/>
                <w:highlight w:val="yellow"/>
              </w:rPr>
              <w:t>表2-</w:t>
            </w:r>
            <w:r>
              <w:rPr>
                <w:b/>
                <w:highlight w:val="yellow"/>
              </w:rPr>
              <w:t>2</w:t>
            </w:r>
            <w:r>
              <w:rPr>
                <w:rFonts w:hint="eastAsia"/>
                <w:b/>
                <w:highlight w:val="yellow"/>
              </w:rPr>
              <w:t xml:space="preserve"> 现有项目烘干工序</w:t>
            </w:r>
            <w:r>
              <w:rPr>
                <w:b/>
                <w:highlight w:val="yellow"/>
              </w:rPr>
              <w:t>项目组成表</w:t>
            </w:r>
          </w:p>
          <w:tbl>
            <w:tblPr>
              <w:tblStyle w:val="2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156"/>
              <w:gridCol w:w="421"/>
              <w:gridCol w:w="1426"/>
              <w:gridCol w:w="4626"/>
              <w:gridCol w:w="100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670" w:type="pct"/>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类别</w:t>
                  </w:r>
                </w:p>
              </w:tc>
              <w:tc>
                <w:tcPr>
                  <w:tcW w:w="1070" w:type="pct"/>
                  <w:gridSpan w:val="2"/>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项目名称</w:t>
                  </w:r>
                </w:p>
              </w:tc>
              <w:tc>
                <w:tcPr>
                  <w:tcW w:w="2680" w:type="pct"/>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主要建设内容</w:t>
                  </w:r>
                </w:p>
              </w:tc>
              <w:tc>
                <w:tcPr>
                  <w:tcW w:w="580" w:type="pct"/>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670" w:type="pct"/>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主体</w:t>
                  </w:r>
                </w:p>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工程</w:t>
                  </w:r>
                </w:p>
              </w:tc>
              <w:tc>
                <w:tcPr>
                  <w:tcW w:w="1070" w:type="pct"/>
                  <w:gridSpan w:val="2"/>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烘干区</w:t>
                  </w:r>
                </w:p>
              </w:tc>
              <w:tc>
                <w:tcPr>
                  <w:tcW w:w="2680" w:type="pct"/>
                  <w:vAlign w:val="center"/>
                </w:tcPr>
                <w:p>
                  <w:pPr>
                    <w:adjustRightInd w:val="0"/>
                    <w:snapToGrid w:val="0"/>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依托厂区南侧占地约4240m</w:t>
                  </w:r>
                  <w:r>
                    <w:rPr>
                      <w:rFonts w:ascii="Times New Roman" w:hAnsi="Times New Roman" w:eastAsia="宋体" w:cs="Times New Roman"/>
                      <w:szCs w:val="21"/>
                      <w:vertAlign w:val="superscript"/>
                    </w:rPr>
                    <w:t>2</w:t>
                  </w:r>
                  <w:r>
                    <w:rPr>
                      <w:rFonts w:ascii="Times New Roman" w:hAnsi="Times New Roman" w:eastAsia="宋体" w:cs="Times New Roman"/>
                      <w:szCs w:val="21"/>
                    </w:rPr>
                    <w:t>全封闭车间，新建1套复合式烘干脱水设备（4台烘干机，其中2台滚筒烘干机、2台振动烘干机，均配套生物质燃烧器），对多孔炭、煤泥进行进一步烘干脱水，年处理24.4万吨多孔炭（低灰分多孔炭）及煤泥（高灰分多孔炭）</w:t>
                  </w:r>
                </w:p>
              </w:tc>
              <w:tc>
                <w:tcPr>
                  <w:tcW w:w="580" w:type="pct"/>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车间依托，设备</w:t>
                  </w:r>
                  <w:r>
                    <w:rPr>
                      <w:rFonts w:hint="eastAsia" w:ascii="Times New Roman" w:hAnsi="Times New Roman" w:eastAsia="宋体" w:cs="Times New Roman"/>
                      <w:szCs w:val="21"/>
                    </w:rPr>
                    <w:t>正在建设中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670" w:type="pct"/>
                  <w:vMerge w:val="restart"/>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储运工程</w:t>
                  </w:r>
                </w:p>
              </w:tc>
              <w:tc>
                <w:tcPr>
                  <w:tcW w:w="1070" w:type="pct"/>
                  <w:gridSpan w:val="2"/>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原料库</w:t>
                  </w:r>
                </w:p>
              </w:tc>
              <w:tc>
                <w:tcPr>
                  <w:tcW w:w="2680" w:type="pct"/>
                  <w:vAlign w:val="center"/>
                </w:tcPr>
                <w:p>
                  <w:pPr>
                    <w:adjustRightInd w:val="0"/>
                    <w:snapToGrid w:val="0"/>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本项目对现有工程多孔炭及煤泥进行烘干，原料库即依托现有全封闭产品库</w:t>
                  </w:r>
                </w:p>
              </w:tc>
              <w:tc>
                <w:tcPr>
                  <w:tcW w:w="580" w:type="pct"/>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670" w:type="pct"/>
                  <w:vMerge w:val="continue"/>
                  <w:vAlign w:val="center"/>
                </w:tcPr>
                <w:p>
                  <w:pPr>
                    <w:adjustRightInd w:val="0"/>
                    <w:snapToGrid w:val="0"/>
                    <w:jc w:val="center"/>
                    <w:rPr>
                      <w:rFonts w:ascii="Times New Roman" w:hAnsi="Times New Roman" w:eastAsia="宋体" w:cs="Times New Roman"/>
                      <w:szCs w:val="21"/>
                    </w:rPr>
                  </w:pPr>
                </w:p>
              </w:tc>
              <w:tc>
                <w:tcPr>
                  <w:tcW w:w="1070" w:type="pct"/>
                  <w:gridSpan w:val="2"/>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成品存放区</w:t>
                  </w:r>
                </w:p>
              </w:tc>
              <w:tc>
                <w:tcPr>
                  <w:tcW w:w="2680" w:type="pct"/>
                  <w:vAlign w:val="center"/>
                </w:tcPr>
                <w:p>
                  <w:pPr>
                    <w:adjustRightInd w:val="0"/>
                    <w:snapToGrid w:val="0"/>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依托厂区南侧占地约4240m</w:t>
                  </w:r>
                  <w:r>
                    <w:rPr>
                      <w:rFonts w:ascii="Times New Roman" w:hAnsi="Times New Roman" w:eastAsia="宋体" w:cs="Times New Roman"/>
                      <w:szCs w:val="21"/>
                      <w:vertAlign w:val="superscript"/>
                    </w:rPr>
                    <w:t>2</w:t>
                  </w:r>
                  <w:r>
                    <w:rPr>
                      <w:rFonts w:ascii="Times New Roman" w:hAnsi="Times New Roman" w:eastAsia="宋体" w:cs="Times New Roman"/>
                      <w:szCs w:val="21"/>
                    </w:rPr>
                    <w:t>全封闭车间，与烘干设备分区设置</w:t>
                  </w:r>
                </w:p>
              </w:tc>
              <w:tc>
                <w:tcPr>
                  <w:tcW w:w="580" w:type="pct"/>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670" w:type="pct"/>
                  <w:vMerge w:val="restart"/>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公用</w:t>
                  </w:r>
                </w:p>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工程</w:t>
                  </w:r>
                </w:p>
              </w:tc>
              <w:tc>
                <w:tcPr>
                  <w:tcW w:w="1070" w:type="pct"/>
                  <w:gridSpan w:val="2"/>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供水</w:t>
                  </w:r>
                </w:p>
              </w:tc>
              <w:tc>
                <w:tcPr>
                  <w:tcW w:w="2680" w:type="pct"/>
                  <w:vAlign w:val="center"/>
                </w:tcPr>
                <w:p>
                  <w:pPr>
                    <w:adjustRightInd w:val="0"/>
                    <w:snapToGrid w:val="0"/>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原环评中劳动定员为20人，已足够本项目使用，本项目无新增劳动定员，由现有工作人员调配，因此项目无需供水</w:t>
                  </w:r>
                </w:p>
              </w:tc>
              <w:tc>
                <w:tcPr>
                  <w:tcW w:w="580" w:type="pct"/>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670" w:type="pct"/>
                  <w:vMerge w:val="continue"/>
                  <w:vAlign w:val="center"/>
                </w:tcPr>
                <w:p>
                  <w:pPr>
                    <w:adjustRightInd w:val="0"/>
                    <w:snapToGrid w:val="0"/>
                    <w:jc w:val="center"/>
                    <w:rPr>
                      <w:rFonts w:ascii="Times New Roman" w:hAnsi="Times New Roman" w:eastAsia="宋体" w:cs="Times New Roman"/>
                      <w:szCs w:val="21"/>
                    </w:rPr>
                  </w:pPr>
                </w:p>
              </w:tc>
              <w:tc>
                <w:tcPr>
                  <w:tcW w:w="1070" w:type="pct"/>
                  <w:gridSpan w:val="2"/>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供热</w:t>
                  </w:r>
                </w:p>
              </w:tc>
              <w:tc>
                <w:tcPr>
                  <w:tcW w:w="2680" w:type="pct"/>
                  <w:vAlign w:val="center"/>
                </w:tcPr>
                <w:p>
                  <w:pPr>
                    <w:adjustRightInd w:val="0"/>
                    <w:snapToGrid w:val="0"/>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烘干所需热源由配套的燃生物质燃料燃烧机供给，生物质燃料年消耗量约1.36万t</w:t>
                  </w:r>
                </w:p>
              </w:tc>
              <w:tc>
                <w:tcPr>
                  <w:tcW w:w="580" w:type="pct"/>
                  <w:vAlign w:val="center"/>
                </w:tcPr>
                <w:p>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正在建设中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670" w:type="pct"/>
                  <w:vMerge w:val="continue"/>
                  <w:vAlign w:val="center"/>
                </w:tcPr>
                <w:p>
                  <w:pPr>
                    <w:adjustRightInd w:val="0"/>
                    <w:snapToGrid w:val="0"/>
                    <w:jc w:val="center"/>
                    <w:rPr>
                      <w:rFonts w:ascii="Times New Roman" w:hAnsi="Times New Roman" w:eastAsia="宋体" w:cs="Times New Roman"/>
                      <w:szCs w:val="21"/>
                    </w:rPr>
                  </w:pPr>
                </w:p>
              </w:tc>
              <w:tc>
                <w:tcPr>
                  <w:tcW w:w="1070" w:type="pct"/>
                  <w:gridSpan w:val="2"/>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供电</w:t>
                  </w:r>
                </w:p>
              </w:tc>
              <w:tc>
                <w:tcPr>
                  <w:tcW w:w="2680" w:type="pct"/>
                  <w:vAlign w:val="center"/>
                </w:tcPr>
                <w:p>
                  <w:pPr>
                    <w:adjustRightInd w:val="0"/>
                    <w:snapToGrid w:val="0"/>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本项目新增用电量约为6.8万kWh/a，依托园区电网及厂区现有变电设施供给</w:t>
                  </w:r>
                </w:p>
              </w:tc>
              <w:tc>
                <w:tcPr>
                  <w:tcW w:w="580" w:type="pct"/>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77" w:hRule="atLeast"/>
                <w:jc w:val="center"/>
              </w:trPr>
              <w:tc>
                <w:tcPr>
                  <w:tcW w:w="670" w:type="pct"/>
                  <w:vMerge w:val="restart"/>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环保</w:t>
                  </w:r>
                </w:p>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工程</w:t>
                  </w:r>
                </w:p>
              </w:tc>
              <w:tc>
                <w:tcPr>
                  <w:tcW w:w="244" w:type="pct"/>
                  <w:vMerge w:val="restart"/>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废气</w:t>
                  </w:r>
                </w:p>
              </w:tc>
              <w:tc>
                <w:tcPr>
                  <w:tcW w:w="826" w:type="pct"/>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烘干废气</w:t>
                  </w:r>
                </w:p>
              </w:tc>
              <w:tc>
                <w:tcPr>
                  <w:tcW w:w="2680" w:type="pct"/>
                  <w:vMerge w:val="restart"/>
                  <w:vAlign w:val="center"/>
                </w:tcPr>
                <w:p>
                  <w:pPr>
                    <w:adjustRightInd w:val="0"/>
                    <w:snapToGrid w:val="0"/>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燃烧烟气采用“旋风除尘器+袋式除尘器”处理；于烘干后物料出口上方设置集气罩对废气进行收集，配套“旋风除尘器+袋式除尘器”，处理后与燃烧烟气共同由1根24m高排气筒（DA001）排放</w:t>
                  </w:r>
                </w:p>
              </w:tc>
              <w:tc>
                <w:tcPr>
                  <w:tcW w:w="580" w:type="pct"/>
                  <w:vMerge w:val="restart"/>
                  <w:vAlign w:val="center"/>
                </w:tcPr>
                <w:p>
                  <w:pPr>
                    <w:adjustRightInd w:val="0"/>
                    <w:snapToGrid w:val="0"/>
                    <w:jc w:val="center"/>
                    <w:rPr>
                      <w:rFonts w:ascii="Times New Roman" w:hAnsi="Times New Roman" w:eastAsia="宋体" w:cs="Times New Roman"/>
                      <w:szCs w:val="21"/>
                    </w:rPr>
                  </w:pPr>
                  <w:bookmarkStart w:id="67" w:name="OLE_LINK308"/>
                  <w:bookmarkStart w:id="68" w:name="OLE_LINK309"/>
                  <w:r>
                    <w:rPr>
                      <w:rFonts w:hint="eastAsia" w:ascii="Times New Roman" w:hAnsi="Times New Roman" w:eastAsia="宋体" w:cs="Times New Roman"/>
                      <w:szCs w:val="21"/>
                    </w:rPr>
                    <w:t>正在建设中</w:t>
                  </w:r>
                  <w:bookmarkEnd w:id="67"/>
                  <w:bookmarkEnd w:id="68"/>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670" w:type="pct"/>
                  <w:vMerge w:val="continue"/>
                  <w:vAlign w:val="center"/>
                </w:tcPr>
                <w:p>
                  <w:pPr>
                    <w:adjustRightInd w:val="0"/>
                    <w:snapToGrid w:val="0"/>
                    <w:jc w:val="center"/>
                    <w:rPr>
                      <w:rFonts w:ascii="Times New Roman" w:hAnsi="Times New Roman" w:eastAsia="宋体" w:cs="Times New Roman"/>
                      <w:szCs w:val="21"/>
                    </w:rPr>
                  </w:pPr>
                </w:p>
              </w:tc>
              <w:tc>
                <w:tcPr>
                  <w:tcW w:w="244" w:type="pct"/>
                  <w:vMerge w:val="continue"/>
                  <w:vAlign w:val="center"/>
                </w:tcPr>
                <w:p>
                  <w:pPr>
                    <w:adjustRightInd w:val="0"/>
                    <w:snapToGrid w:val="0"/>
                    <w:jc w:val="center"/>
                    <w:rPr>
                      <w:rFonts w:ascii="Times New Roman" w:hAnsi="Times New Roman" w:eastAsia="宋体" w:cs="Times New Roman"/>
                      <w:szCs w:val="21"/>
                    </w:rPr>
                  </w:pPr>
                </w:p>
              </w:tc>
              <w:tc>
                <w:tcPr>
                  <w:tcW w:w="826" w:type="pct"/>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燃烧生物质烟气</w:t>
                  </w:r>
                </w:p>
              </w:tc>
              <w:tc>
                <w:tcPr>
                  <w:tcW w:w="2680" w:type="pct"/>
                  <w:vMerge w:val="continue"/>
                  <w:vAlign w:val="center"/>
                </w:tcPr>
                <w:p>
                  <w:pPr>
                    <w:adjustRightInd w:val="0"/>
                    <w:snapToGrid w:val="0"/>
                    <w:ind w:left="105" w:leftChars="50" w:right="105" w:rightChars="50"/>
                    <w:jc w:val="center"/>
                    <w:rPr>
                      <w:rFonts w:ascii="Times New Roman" w:hAnsi="Times New Roman" w:eastAsia="宋体" w:cs="Times New Roman"/>
                      <w:szCs w:val="21"/>
                    </w:rPr>
                  </w:pPr>
                </w:p>
              </w:tc>
              <w:tc>
                <w:tcPr>
                  <w:tcW w:w="580" w:type="pct"/>
                  <w:vMerge w:val="continue"/>
                  <w:vAlign w:val="center"/>
                </w:tcPr>
                <w:p>
                  <w:pPr>
                    <w:adjustRightInd w:val="0"/>
                    <w:snapToGrid w:val="0"/>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670" w:type="pct"/>
                  <w:vMerge w:val="continue"/>
                  <w:vAlign w:val="center"/>
                </w:tcPr>
                <w:p>
                  <w:pPr>
                    <w:adjustRightInd w:val="0"/>
                    <w:snapToGrid w:val="0"/>
                    <w:jc w:val="center"/>
                    <w:rPr>
                      <w:rFonts w:ascii="Times New Roman" w:hAnsi="Times New Roman" w:eastAsia="宋体" w:cs="Times New Roman"/>
                      <w:szCs w:val="21"/>
                    </w:rPr>
                  </w:pPr>
                </w:p>
              </w:tc>
              <w:tc>
                <w:tcPr>
                  <w:tcW w:w="244" w:type="pct"/>
                  <w:vMerge w:val="continue"/>
                  <w:vAlign w:val="center"/>
                </w:tcPr>
                <w:p>
                  <w:pPr>
                    <w:adjustRightInd w:val="0"/>
                    <w:snapToGrid w:val="0"/>
                    <w:jc w:val="center"/>
                    <w:rPr>
                      <w:rFonts w:ascii="Times New Roman" w:hAnsi="Times New Roman" w:eastAsia="宋体" w:cs="Times New Roman"/>
                      <w:szCs w:val="21"/>
                    </w:rPr>
                  </w:pPr>
                </w:p>
              </w:tc>
              <w:tc>
                <w:tcPr>
                  <w:tcW w:w="826" w:type="pct"/>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成品存放区装卸废气</w:t>
                  </w:r>
                </w:p>
              </w:tc>
              <w:tc>
                <w:tcPr>
                  <w:tcW w:w="2680" w:type="pct"/>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全封闭车间，无组织排放</w:t>
                  </w:r>
                </w:p>
              </w:tc>
              <w:tc>
                <w:tcPr>
                  <w:tcW w:w="580" w:type="pct"/>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53" w:hRule="atLeast"/>
                <w:jc w:val="center"/>
              </w:trPr>
              <w:tc>
                <w:tcPr>
                  <w:tcW w:w="670" w:type="pct"/>
                  <w:vMerge w:val="continue"/>
                  <w:vAlign w:val="center"/>
                </w:tcPr>
                <w:p>
                  <w:pPr>
                    <w:adjustRightInd w:val="0"/>
                    <w:snapToGrid w:val="0"/>
                    <w:jc w:val="center"/>
                    <w:rPr>
                      <w:rFonts w:ascii="Times New Roman" w:hAnsi="Times New Roman" w:eastAsia="宋体" w:cs="Times New Roman"/>
                      <w:szCs w:val="21"/>
                    </w:rPr>
                  </w:pPr>
                </w:p>
              </w:tc>
              <w:tc>
                <w:tcPr>
                  <w:tcW w:w="244" w:type="pct"/>
                  <w:vMerge w:val="restart"/>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固废</w:t>
                  </w:r>
                </w:p>
              </w:tc>
              <w:tc>
                <w:tcPr>
                  <w:tcW w:w="826" w:type="pct"/>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燃生物质除尘灰及炉渣</w:t>
                  </w:r>
                </w:p>
              </w:tc>
              <w:tc>
                <w:tcPr>
                  <w:tcW w:w="2680" w:type="pct"/>
                  <w:vAlign w:val="center"/>
                </w:tcPr>
                <w:p>
                  <w:pPr>
                    <w:adjustRightInd w:val="0"/>
                    <w:snapToGrid w:val="0"/>
                    <w:ind w:left="105" w:leftChars="50" w:right="105" w:rightChars="50"/>
                    <w:jc w:val="center"/>
                    <w:rPr>
                      <w:rFonts w:ascii="Times New Roman" w:hAnsi="Times New Roman" w:eastAsia="宋体" w:cs="Times New Roman"/>
                      <w:szCs w:val="21"/>
                    </w:rPr>
                  </w:pPr>
                  <w:r>
                    <w:rPr>
                      <w:rFonts w:ascii="Times New Roman" w:hAnsi="Times New Roman" w:eastAsia="宋体" w:cs="Times New Roman"/>
                      <w:bCs/>
                      <w:szCs w:val="21"/>
                    </w:rPr>
                    <w:t>集中收集后于烘干区内单独暂存，外售作为农肥使用，利用不畅时送园区渣场</w:t>
                  </w:r>
                </w:p>
              </w:tc>
              <w:tc>
                <w:tcPr>
                  <w:tcW w:w="580" w:type="pct"/>
                  <w:vAlign w:val="center"/>
                </w:tcPr>
                <w:p>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正在建设中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53" w:hRule="atLeast"/>
                <w:jc w:val="center"/>
              </w:trPr>
              <w:tc>
                <w:tcPr>
                  <w:tcW w:w="670" w:type="pct"/>
                  <w:vMerge w:val="continue"/>
                  <w:vAlign w:val="center"/>
                </w:tcPr>
                <w:p>
                  <w:pPr>
                    <w:adjustRightInd w:val="0"/>
                    <w:snapToGrid w:val="0"/>
                    <w:jc w:val="center"/>
                    <w:rPr>
                      <w:rFonts w:ascii="Times New Roman" w:hAnsi="Times New Roman" w:eastAsia="宋体" w:cs="Times New Roman"/>
                      <w:szCs w:val="21"/>
                    </w:rPr>
                  </w:pPr>
                </w:p>
              </w:tc>
              <w:tc>
                <w:tcPr>
                  <w:tcW w:w="244" w:type="pct"/>
                  <w:vMerge w:val="continue"/>
                  <w:vAlign w:val="center"/>
                </w:tcPr>
                <w:p>
                  <w:pPr>
                    <w:adjustRightInd w:val="0"/>
                    <w:snapToGrid w:val="0"/>
                    <w:jc w:val="center"/>
                    <w:rPr>
                      <w:rFonts w:ascii="Times New Roman" w:hAnsi="Times New Roman" w:eastAsia="宋体" w:cs="Times New Roman"/>
                      <w:szCs w:val="21"/>
                    </w:rPr>
                  </w:pPr>
                </w:p>
              </w:tc>
              <w:tc>
                <w:tcPr>
                  <w:tcW w:w="826" w:type="pct"/>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工艺除尘灰</w:t>
                  </w:r>
                </w:p>
              </w:tc>
              <w:tc>
                <w:tcPr>
                  <w:tcW w:w="2680" w:type="pct"/>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全部回收作为产品外售</w:t>
                  </w:r>
                </w:p>
              </w:tc>
              <w:tc>
                <w:tcPr>
                  <w:tcW w:w="580" w:type="pct"/>
                  <w:vAlign w:val="center"/>
                </w:tcPr>
                <w:p>
                  <w:pPr>
                    <w:adjustRightInd w:val="0"/>
                    <w:snapToGrid w:val="0"/>
                    <w:jc w:val="center"/>
                    <w:rPr>
                      <w:rFonts w:ascii="Times New Roman" w:hAnsi="Times New Roman" w:eastAsia="宋体" w:cs="Times New Roman"/>
                      <w:szCs w:val="21"/>
                    </w:rPr>
                  </w:pPr>
                  <w:r>
                    <w:rPr>
                      <w:rFonts w:hint="eastAsia" w:ascii="Times New Roman" w:hAnsi="Times New Roman" w:eastAsia="宋体" w:cs="Times New Roman"/>
                      <w:szCs w:val="21"/>
                    </w:rPr>
                    <w:t>正在建设中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53" w:hRule="atLeast"/>
                <w:jc w:val="center"/>
              </w:trPr>
              <w:tc>
                <w:tcPr>
                  <w:tcW w:w="670" w:type="pct"/>
                  <w:vMerge w:val="continue"/>
                  <w:vAlign w:val="center"/>
                </w:tcPr>
                <w:p>
                  <w:pPr>
                    <w:adjustRightInd w:val="0"/>
                    <w:snapToGrid w:val="0"/>
                    <w:jc w:val="center"/>
                    <w:rPr>
                      <w:rFonts w:ascii="Times New Roman" w:hAnsi="Times New Roman" w:eastAsia="宋体" w:cs="Times New Roman"/>
                      <w:szCs w:val="21"/>
                    </w:rPr>
                  </w:pPr>
                </w:p>
              </w:tc>
              <w:tc>
                <w:tcPr>
                  <w:tcW w:w="244" w:type="pct"/>
                  <w:vMerge w:val="continue"/>
                  <w:vAlign w:val="center"/>
                </w:tcPr>
                <w:p>
                  <w:pPr>
                    <w:adjustRightInd w:val="0"/>
                    <w:snapToGrid w:val="0"/>
                    <w:jc w:val="center"/>
                    <w:rPr>
                      <w:rFonts w:ascii="Times New Roman" w:hAnsi="Times New Roman" w:eastAsia="宋体" w:cs="Times New Roman"/>
                      <w:szCs w:val="21"/>
                    </w:rPr>
                  </w:pPr>
                </w:p>
              </w:tc>
              <w:tc>
                <w:tcPr>
                  <w:tcW w:w="826" w:type="pct"/>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废机油、废机油桶</w:t>
                  </w:r>
                </w:p>
              </w:tc>
              <w:tc>
                <w:tcPr>
                  <w:tcW w:w="2680" w:type="pct"/>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暂存于现有工程危废暂存间，定期交由有资质单位处理</w:t>
                  </w:r>
                </w:p>
              </w:tc>
              <w:tc>
                <w:tcPr>
                  <w:tcW w:w="580" w:type="pct"/>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670" w:type="pct"/>
                  <w:vMerge w:val="continue"/>
                  <w:vAlign w:val="center"/>
                </w:tcPr>
                <w:p>
                  <w:pPr>
                    <w:adjustRightInd w:val="0"/>
                    <w:snapToGrid w:val="0"/>
                    <w:jc w:val="center"/>
                    <w:rPr>
                      <w:rFonts w:ascii="Times New Roman" w:hAnsi="Times New Roman" w:eastAsia="宋体" w:cs="Times New Roman"/>
                      <w:szCs w:val="21"/>
                    </w:rPr>
                  </w:pPr>
                </w:p>
              </w:tc>
              <w:tc>
                <w:tcPr>
                  <w:tcW w:w="1070" w:type="pct"/>
                  <w:gridSpan w:val="2"/>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噪声</w:t>
                  </w:r>
                </w:p>
              </w:tc>
              <w:tc>
                <w:tcPr>
                  <w:tcW w:w="2680" w:type="pct"/>
                  <w:vAlign w:val="center"/>
                </w:tcPr>
                <w:p>
                  <w:pPr>
                    <w:adjustRightInd w:val="0"/>
                    <w:snapToGrid w:val="0"/>
                    <w:ind w:left="105" w:leftChars="50" w:right="105" w:rightChars="50"/>
                    <w:jc w:val="center"/>
                    <w:rPr>
                      <w:rFonts w:ascii="Times New Roman" w:hAnsi="Times New Roman" w:eastAsia="宋体" w:cs="Times New Roman"/>
                      <w:szCs w:val="21"/>
                    </w:rPr>
                  </w:pPr>
                  <w:r>
                    <w:rPr>
                      <w:rFonts w:ascii="Times New Roman" w:hAnsi="Times New Roman" w:eastAsia="宋体" w:cs="Times New Roman"/>
                      <w:bCs/>
                      <w:szCs w:val="21"/>
                    </w:rPr>
                    <w:t>高噪声设备采取厂房隔声、减振等措施</w:t>
                  </w:r>
                </w:p>
              </w:tc>
              <w:tc>
                <w:tcPr>
                  <w:tcW w:w="580" w:type="pct"/>
                  <w:vAlign w:val="center"/>
                </w:tcPr>
                <w:p>
                  <w:pPr>
                    <w:adjustRightInd w:val="0"/>
                    <w:snapToGrid w:val="0"/>
                    <w:jc w:val="center"/>
                    <w:rPr>
                      <w:rFonts w:ascii="Times New Roman" w:hAnsi="Times New Roman" w:eastAsia="宋体" w:cs="Times New Roman"/>
                      <w:szCs w:val="21"/>
                    </w:rPr>
                  </w:pPr>
                  <w:r>
                    <w:rPr>
                      <w:rFonts w:ascii="Times New Roman" w:hAnsi="Times New Roman" w:eastAsia="宋体" w:cs="Times New Roman"/>
                      <w:szCs w:val="21"/>
                    </w:rPr>
                    <w:t>“三同时”</w:t>
                  </w:r>
                </w:p>
              </w:tc>
            </w:tr>
          </w:tbl>
          <w:p>
            <w:pPr>
              <w:pStyle w:val="111"/>
              <w:ind w:firstLine="480"/>
            </w:pPr>
            <w:r>
              <w:rPr>
                <w:rFonts w:hint="eastAsia"/>
              </w:rPr>
              <w:t>（2）现有工程</w:t>
            </w:r>
            <w:r>
              <w:rPr>
                <w:bCs/>
              </w:rPr>
              <w:t>原辅</w:t>
            </w:r>
            <w:r>
              <w:rPr>
                <w:rFonts w:hint="eastAsia"/>
                <w:bCs/>
              </w:rPr>
              <w:t>材料</w:t>
            </w:r>
            <w:r>
              <w:rPr>
                <w:rFonts w:hint="eastAsia"/>
              </w:rPr>
              <w:t>消耗</w:t>
            </w:r>
          </w:p>
          <w:p>
            <w:pPr>
              <w:pStyle w:val="111"/>
              <w:ind w:firstLine="480"/>
            </w:pPr>
            <w:bookmarkStart w:id="69" w:name="OLE_LINK100"/>
            <w:bookmarkStart w:id="70" w:name="OLE_LINK99"/>
            <w:r>
              <w:rPr>
                <w:rFonts w:hint="eastAsia"/>
              </w:rPr>
              <w:t>现有项目</w:t>
            </w:r>
            <w:bookmarkEnd w:id="69"/>
            <w:bookmarkEnd w:id="70"/>
            <w:r>
              <w:rPr>
                <w:bCs/>
              </w:rPr>
              <w:t>原辅</w:t>
            </w:r>
            <w:r>
              <w:rPr>
                <w:rFonts w:hint="eastAsia"/>
                <w:bCs/>
              </w:rPr>
              <w:t>材料</w:t>
            </w:r>
            <w:r>
              <w:rPr>
                <w:rFonts w:hint="eastAsia"/>
              </w:rPr>
              <w:t>消耗情况见下表：</w:t>
            </w:r>
          </w:p>
          <w:p>
            <w:pPr>
              <w:pStyle w:val="111"/>
              <w:ind w:firstLine="482"/>
              <w:jc w:val="center"/>
              <w:rPr>
                <w:b/>
              </w:rPr>
            </w:pPr>
            <w:bookmarkStart w:id="71" w:name="OLE_LINK39"/>
            <w:bookmarkStart w:id="72" w:name="OLE_LINK62"/>
            <w:bookmarkStart w:id="73" w:name="OLE_LINK61"/>
            <w:bookmarkStart w:id="74" w:name="OLE_LINK119"/>
            <w:bookmarkStart w:id="75" w:name="OLE_LINK45"/>
            <w:bookmarkStart w:id="76" w:name="OLE_LINK44"/>
            <w:r>
              <w:rPr>
                <w:rFonts w:hint="eastAsia"/>
                <w:b/>
              </w:rPr>
              <w:t>表2-</w:t>
            </w:r>
            <w:r>
              <w:rPr>
                <w:b/>
              </w:rPr>
              <w:t>3</w:t>
            </w:r>
            <w:r>
              <w:rPr>
                <w:rFonts w:hint="eastAsia"/>
                <w:b/>
              </w:rPr>
              <w:t>现有项目脱碳工序</w:t>
            </w:r>
            <w:r>
              <w:rPr>
                <w:b/>
              </w:rPr>
              <w:t>原辅</w:t>
            </w:r>
            <w:bookmarkEnd w:id="71"/>
            <w:r>
              <w:rPr>
                <w:rFonts w:hint="eastAsia"/>
                <w:b/>
              </w:rPr>
              <w:t>消耗</w:t>
            </w:r>
            <w:r>
              <w:rPr>
                <w:b/>
              </w:rPr>
              <w:t>用量表</w:t>
            </w:r>
          </w:p>
          <w:bookmarkEnd w:id="72"/>
          <w:bookmarkEnd w:id="73"/>
          <w:bookmarkEnd w:id="74"/>
          <w:tbl>
            <w:tblPr>
              <w:tblStyle w:val="2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954"/>
              <w:gridCol w:w="2301"/>
              <w:gridCol w:w="1276"/>
              <w:gridCol w:w="2049"/>
              <w:gridCol w:w="20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53" w:type="pct"/>
                  <w:vAlign w:val="center"/>
                </w:tcPr>
                <w:p>
                  <w:pPr>
                    <w:pStyle w:val="67"/>
                    <w:rPr>
                      <w:b/>
                      <w:bCs/>
                    </w:rPr>
                  </w:pPr>
                  <w:r>
                    <w:rPr>
                      <w:rFonts w:hint="eastAsia"/>
                      <w:b/>
                      <w:bCs/>
                    </w:rPr>
                    <w:t>名称</w:t>
                  </w:r>
                </w:p>
              </w:tc>
              <w:tc>
                <w:tcPr>
                  <w:tcW w:w="1333" w:type="pct"/>
                  <w:vAlign w:val="center"/>
                </w:tcPr>
                <w:p>
                  <w:pPr>
                    <w:pStyle w:val="67"/>
                    <w:rPr>
                      <w:b/>
                      <w:bCs/>
                    </w:rPr>
                  </w:pPr>
                  <w:r>
                    <w:rPr>
                      <w:rFonts w:hint="eastAsia"/>
                      <w:b/>
                      <w:bCs/>
                    </w:rPr>
                    <w:t>规格</w:t>
                  </w:r>
                </w:p>
              </w:tc>
              <w:tc>
                <w:tcPr>
                  <w:tcW w:w="739" w:type="pct"/>
                  <w:vAlign w:val="center"/>
                </w:tcPr>
                <w:p>
                  <w:pPr>
                    <w:pStyle w:val="67"/>
                    <w:rPr>
                      <w:b/>
                      <w:bCs/>
                    </w:rPr>
                  </w:pPr>
                  <w:r>
                    <w:rPr>
                      <w:rFonts w:hint="eastAsia"/>
                      <w:b/>
                      <w:bCs/>
                    </w:rPr>
                    <w:t>数量</w:t>
                  </w:r>
                </w:p>
              </w:tc>
              <w:tc>
                <w:tcPr>
                  <w:tcW w:w="1187" w:type="pct"/>
                  <w:vAlign w:val="center"/>
                </w:tcPr>
                <w:p>
                  <w:pPr>
                    <w:pStyle w:val="67"/>
                    <w:rPr>
                      <w:b/>
                      <w:bCs/>
                    </w:rPr>
                  </w:pPr>
                  <w:r>
                    <w:rPr>
                      <w:rFonts w:hint="eastAsia"/>
                      <w:b/>
                      <w:bCs/>
                    </w:rPr>
                    <w:t>单位</w:t>
                  </w:r>
                </w:p>
              </w:tc>
              <w:tc>
                <w:tcPr>
                  <w:tcW w:w="1188" w:type="pct"/>
                  <w:vAlign w:val="center"/>
                </w:tcPr>
                <w:p>
                  <w:pPr>
                    <w:pStyle w:val="67"/>
                    <w:rPr>
                      <w:b/>
                      <w:bCs/>
                    </w:rPr>
                  </w:pPr>
                  <w:r>
                    <w:rPr>
                      <w:rFonts w:hint="eastAsia"/>
                      <w:b/>
                      <w:bCs/>
                    </w:rPr>
                    <w:t>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53" w:type="pct"/>
                  <w:vMerge w:val="restart"/>
                  <w:vAlign w:val="center"/>
                </w:tcPr>
                <w:p>
                  <w:pPr>
                    <w:pStyle w:val="67"/>
                  </w:pPr>
                  <w:r>
                    <w:rPr>
                      <w:rFonts w:hint="eastAsia"/>
                    </w:rPr>
                    <w:t>气化渣</w:t>
                  </w:r>
                </w:p>
              </w:tc>
              <w:tc>
                <w:tcPr>
                  <w:tcW w:w="1333" w:type="pct"/>
                  <w:vAlign w:val="center"/>
                </w:tcPr>
                <w:p>
                  <w:pPr>
                    <w:pStyle w:val="67"/>
                  </w:pPr>
                  <w:r>
                    <w:rPr>
                      <w:rFonts w:hint="eastAsia"/>
                    </w:rPr>
                    <w:t>气化渣粗渣（含水率35%）</w:t>
                  </w:r>
                </w:p>
              </w:tc>
              <w:tc>
                <w:tcPr>
                  <w:tcW w:w="739" w:type="pct"/>
                  <w:vAlign w:val="center"/>
                </w:tcPr>
                <w:p>
                  <w:pPr>
                    <w:pStyle w:val="67"/>
                  </w:pPr>
                  <w:r>
                    <w:rPr>
                      <w:rFonts w:hint="eastAsia"/>
                    </w:rPr>
                    <w:t>20</w:t>
                  </w:r>
                </w:p>
              </w:tc>
              <w:tc>
                <w:tcPr>
                  <w:tcW w:w="1187" w:type="pct"/>
                  <w:vAlign w:val="center"/>
                </w:tcPr>
                <w:p>
                  <w:pPr>
                    <w:pStyle w:val="67"/>
                  </w:pPr>
                  <w:r>
                    <w:rPr>
                      <w:rFonts w:hint="eastAsia"/>
                    </w:rPr>
                    <w:t>万t/a</w:t>
                  </w:r>
                </w:p>
              </w:tc>
              <w:tc>
                <w:tcPr>
                  <w:tcW w:w="1188" w:type="pct"/>
                  <w:vMerge w:val="restart"/>
                  <w:vAlign w:val="center"/>
                </w:tcPr>
                <w:p>
                  <w:pPr>
                    <w:pStyle w:val="67"/>
                  </w:pPr>
                  <w:r>
                    <w:rPr>
                      <w:rFonts w:hint="eastAsia"/>
                    </w:rPr>
                    <w:t>外购，储存于原料库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53" w:type="pct"/>
                  <w:vMerge w:val="continue"/>
                  <w:vAlign w:val="center"/>
                </w:tcPr>
                <w:p>
                  <w:pPr>
                    <w:pStyle w:val="67"/>
                  </w:pPr>
                </w:p>
              </w:tc>
              <w:tc>
                <w:tcPr>
                  <w:tcW w:w="1333" w:type="pct"/>
                  <w:vAlign w:val="center"/>
                </w:tcPr>
                <w:p>
                  <w:pPr>
                    <w:pStyle w:val="67"/>
                    <w:rPr>
                      <w:lang w:eastAsia="zh-CN"/>
                    </w:rPr>
                  </w:pPr>
                  <w:r>
                    <w:rPr>
                      <w:rFonts w:hint="eastAsia"/>
                      <w:lang w:eastAsia="zh-CN"/>
                    </w:rPr>
                    <w:t>气化渣细渣（含水率51%）</w:t>
                  </w:r>
                </w:p>
              </w:tc>
              <w:tc>
                <w:tcPr>
                  <w:tcW w:w="739" w:type="pct"/>
                  <w:vAlign w:val="center"/>
                </w:tcPr>
                <w:p>
                  <w:pPr>
                    <w:pStyle w:val="67"/>
                  </w:pPr>
                  <w:r>
                    <w:rPr>
                      <w:rFonts w:hint="eastAsia"/>
                    </w:rPr>
                    <w:t>40</w:t>
                  </w:r>
                </w:p>
              </w:tc>
              <w:tc>
                <w:tcPr>
                  <w:tcW w:w="1187" w:type="pct"/>
                  <w:vAlign w:val="center"/>
                </w:tcPr>
                <w:p>
                  <w:pPr>
                    <w:pStyle w:val="67"/>
                  </w:pPr>
                  <w:r>
                    <w:rPr>
                      <w:rFonts w:hint="eastAsia"/>
                    </w:rPr>
                    <w:t>万t/a</w:t>
                  </w:r>
                </w:p>
              </w:tc>
              <w:tc>
                <w:tcPr>
                  <w:tcW w:w="1188" w:type="pct"/>
                  <w:vMerge w:val="continue"/>
                  <w:vAlign w:val="center"/>
                </w:tcPr>
                <w:p>
                  <w:pPr>
                    <w:pStyle w:val="67"/>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886" w:type="pct"/>
                  <w:gridSpan w:val="2"/>
                  <w:vAlign w:val="center"/>
                </w:tcPr>
                <w:p>
                  <w:pPr>
                    <w:pStyle w:val="67"/>
                  </w:pPr>
                  <w:r>
                    <w:rPr>
                      <w:rFonts w:hint="eastAsia"/>
                    </w:rPr>
                    <w:t>水</w:t>
                  </w:r>
                </w:p>
              </w:tc>
              <w:tc>
                <w:tcPr>
                  <w:tcW w:w="739" w:type="pct"/>
                  <w:vAlign w:val="center"/>
                </w:tcPr>
                <w:p>
                  <w:pPr>
                    <w:pStyle w:val="67"/>
                  </w:pPr>
                  <w:r>
                    <w:rPr>
                      <w:rFonts w:hint="eastAsia"/>
                    </w:rPr>
                    <w:t>4190.2</w:t>
                  </w:r>
                </w:p>
              </w:tc>
              <w:tc>
                <w:tcPr>
                  <w:tcW w:w="1187" w:type="pct"/>
                  <w:vAlign w:val="center"/>
                </w:tcPr>
                <w:p>
                  <w:pPr>
                    <w:pStyle w:val="67"/>
                  </w:pPr>
                  <w:bookmarkStart w:id="77" w:name="OLE_LINK106"/>
                  <w:bookmarkStart w:id="78" w:name="OLE_LINK105"/>
                  <w:r>
                    <w:rPr>
                      <w:rFonts w:hint="eastAsia"/>
                    </w:rPr>
                    <w:t>m</w:t>
                  </w:r>
                  <w:r>
                    <w:rPr>
                      <w:rFonts w:hint="eastAsia"/>
                      <w:vertAlign w:val="superscript"/>
                    </w:rPr>
                    <w:t>3</w:t>
                  </w:r>
                  <w:r>
                    <w:rPr>
                      <w:rFonts w:hint="eastAsia"/>
                    </w:rPr>
                    <w:t>/a</w:t>
                  </w:r>
                  <w:bookmarkEnd w:id="77"/>
                  <w:bookmarkEnd w:id="78"/>
                </w:p>
              </w:tc>
              <w:tc>
                <w:tcPr>
                  <w:tcW w:w="1188" w:type="pct"/>
                  <w:vAlign w:val="center"/>
                </w:tcPr>
                <w:p>
                  <w:pPr>
                    <w:pStyle w:val="67"/>
                  </w:pPr>
                  <w:r>
                    <w:rPr>
                      <w:rFonts w:hint="eastAsia"/>
                    </w:rPr>
                    <w:t>园区管网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1886" w:type="pct"/>
                  <w:gridSpan w:val="2"/>
                  <w:vAlign w:val="center"/>
                </w:tcPr>
                <w:p>
                  <w:pPr>
                    <w:pStyle w:val="67"/>
                  </w:pPr>
                  <w:r>
                    <w:rPr>
                      <w:rFonts w:hint="eastAsia"/>
                    </w:rPr>
                    <w:t>电</w:t>
                  </w:r>
                </w:p>
              </w:tc>
              <w:tc>
                <w:tcPr>
                  <w:tcW w:w="739" w:type="pct"/>
                  <w:vAlign w:val="center"/>
                </w:tcPr>
                <w:p>
                  <w:pPr>
                    <w:pStyle w:val="67"/>
                  </w:pPr>
                  <w:r>
                    <w:rPr>
                      <w:rFonts w:hint="eastAsia"/>
                    </w:rPr>
                    <w:t>120</w:t>
                  </w:r>
                </w:p>
              </w:tc>
              <w:tc>
                <w:tcPr>
                  <w:tcW w:w="1187" w:type="pct"/>
                  <w:vAlign w:val="center"/>
                </w:tcPr>
                <w:p>
                  <w:pPr>
                    <w:pStyle w:val="67"/>
                  </w:pPr>
                  <w:r>
                    <w:rPr>
                      <w:rFonts w:hint="eastAsia"/>
                      <w:highlight w:val="yellow"/>
                    </w:rPr>
                    <w:t>万kw·h/a</w:t>
                  </w:r>
                </w:p>
              </w:tc>
              <w:tc>
                <w:tcPr>
                  <w:tcW w:w="1188" w:type="pct"/>
                  <w:vAlign w:val="center"/>
                </w:tcPr>
                <w:p>
                  <w:pPr>
                    <w:pStyle w:val="67"/>
                  </w:pPr>
                  <w:r>
                    <w:rPr>
                      <w:rFonts w:hint="eastAsia"/>
                    </w:rPr>
                    <w:t>园区电网</w:t>
                  </w:r>
                </w:p>
              </w:tc>
            </w:tr>
          </w:tbl>
          <w:p>
            <w:pPr>
              <w:pStyle w:val="111"/>
              <w:ind w:firstLine="482"/>
              <w:jc w:val="center"/>
              <w:rPr>
                <w:b/>
              </w:rPr>
            </w:pPr>
            <w:r>
              <w:rPr>
                <w:rFonts w:hint="eastAsia"/>
                <w:b/>
              </w:rPr>
              <w:t>表2-</w:t>
            </w:r>
            <w:r>
              <w:rPr>
                <w:b/>
              </w:rPr>
              <w:t>4</w:t>
            </w:r>
            <w:r>
              <w:rPr>
                <w:rFonts w:hint="eastAsia"/>
                <w:b/>
              </w:rPr>
              <w:t>现有项目烘干工序</w:t>
            </w:r>
            <w:r>
              <w:rPr>
                <w:b/>
              </w:rPr>
              <w:t>原辅</w:t>
            </w:r>
            <w:r>
              <w:rPr>
                <w:rFonts w:hint="eastAsia"/>
                <w:b/>
              </w:rPr>
              <w:t>消耗</w:t>
            </w:r>
            <w:r>
              <w:rPr>
                <w:b/>
              </w:rPr>
              <w:t>用量表</w:t>
            </w:r>
          </w:p>
          <w:bookmarkEnd w:id="75"/>
          <w:bookmarkEnd w:id="76"/>
          <w:tbl>
            <w:tblPr>
              <w:tblStyle w:val="2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46"/>
              <w:gridCol w:w="1488"/>
              <w:gridCol w:w="1697"/>
              <w:gridCol w:w="1540"/>
              <w:gridCol w:w="2004"/>
              <w:gridCol w:w="115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33" w:type="pct"/>
                  <w:vAlign w:val="center"/>
                </w:tcPr>
                <w:p>
                  <w:pPr>
                    <w:pStyle w:val="67"/>
                    <w:rPr>
                      <w:b/>
                      <w:bCs/>
                    </w:rPr>
                  </w:pPr>
                  <w:bookmarkStart w:id="79" w:name="OLE_LINK125"/>
                  <w:bookmarkStart w:id="80" w:name="OLE_LINK124"/>
                  <w:bookmarkStart w:id="81" w:name="OLE_LINK108"/>
                  <w:bookmarkStart w:id="82" w:name="OLE_LINK107"/>
                  <w:r>
                    <w:rPr>
                      <w:rFonts w:hint="eastAsia"/>
                      <w:b/>
                      <w:bCs/>
                    </w:rPr>
                    <w:t>序号</w:t>
                  </w:r>
                </w:p>
              </w:tc>
              <w:tc>
                <w:tcPr>
                  <w:tcW w:w="862" w:type="pct"/>
                  <w:vAlign w:val="center"/>
                </w:tcPr>
                <w:p>
                  <w:pPr>
                    <w:pStyle w:val="67"/>
                    <w:rPr>
                      <w:b/>
                      <w:bCs/>
                    </w:rPr>
                  </w:pPr>
                  <w:r>
                    <w:rPr>
                      <w:rFonts w:hint="eastAsia"/>
                      <w:b/>
                      <w:bCs/>
                    </w:rPr>
                    <w:t>名称</w:t>
                  </w:r>
                </w:p>
              </w:tc>
              <w:tc>
                <w:tcPr>
                  <w:tcW w:w="983" w:type="pct"/>
                  <w:vAlign w:val="center"/>
                </w:tcPr>
                <w:p>
                  <w:pPr>
                    <w:pStyle w:val="67"/>
                    <w:rPr>
                      <w:b/>
                      <w:bCs/>
                    </w:rPr>
                  </w:pPr>
                  <w:r>
                    <w:rPr>
                      <w:b/>
                      <w:bCs/>
                    </w:rPr>
                    <w:t>年</w:t>
                  </w:r>
                  <w:r>
                    <w:rPr>
                      <w:rFonts w:hint="eastAsia"/>
                      <w:b/>
                      <w:bCs/>
                    </w:rPr>
                    <w:t>消耗</w:t>
                  </w:r>
                  <w:r>
                    <w:rPr>
                      <w:b/>
                      <w:bCs/>
                    </w:rPr>
                    <w:t>量</w:t>
                  </w:r>
                </w:p>
              </w:tc>
              <w:tc>
                <w:tcPr>
                  <w:tcW w:w="892" w:type="pct"/>
                  <w:vAlign w:val="center"/>
                </w:tcPr>
                <w:p>
                  <w:pPr>
                    <w:pStyle w:val="67"/>
                    <w:rPr>
                      <w:b/>
                      <w:bCs/>
                    </w:rPr>
                  </w:pPr>
                  <w:r>
                    <w:rPr>
                      <w:rFonts w:hint="eastAsia"/>
                      <w:b/>
                      <w:bCs/>
                    </w:rPr>
                    <w:t>规格</w:t>
                  </w:r>
                </w:p>
              </w:tc>
              <w:tc>
                <w:tcPr>
                  <w:tcW w:w="1161" w:type="pct"/>
                  <w:vAlign w:val="center"/>
                </w:tcPr>
                <w:p>
                  <w:pPr>
                    <w:pStyle w:val="67"/>
                    <w:rPr>
                      <w:b/>
                      <w:bCs/>
                    </w:rPr>
                  </w:pPr>
                  <w:r>
                    <w:rPr>
                      <w:b/>
                      <w:bCs/>
                    </w:rPr>
                    <w:t>来源</w:t>
                  </w:r>
                  <w:r>
                    <w:rPr>
                      <w:rFonts w:hint="eastAsia"/>
                      <w:b/>
                      <w:bCs/>
                    </w:rPr>
                    <w:t>及运输</w:t>
                  </w:r>
                </w:p>
              </w:tc>
              <w:tc>
                <w:tcPr>
                  <w:tcW w:w="669" w:type="pct"/>
                  <w:vAlign w:val="center"/>
                </w:tcPr>
                <w:p>
                  <w:pPr>
                    <w:pStyle w:val="67"/>
                    <w:rPr>
                      <w:b/>
                      <w:bCs/>
                    </w:rPr>
                  </w:pPr>
                  <w:r>
                    <w:rPr>
                      <w:rFonts w:hint="eastAsia"/>
                      <w:b/>
                      <w:bCs/>
                    </w:rPr>
                    <w:t>储存位置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33" w:type="pct"/>
                  <w:vAlign w:val="center"/>
                </w:tcPr>
                <w:p>
                  <w:pPr>
                    <w:pStyle w:val="67"/>
                  </w:pPr>
                  <w:r>
                    <w:rPr>
                      <w:rFonts w:hint="eastAsia"/>
                    </w:rPr>
                    <w:t>1</w:t>
                  </w:r>
                </w:p>
              </w:tc>
              <w:tc>
                <w:tcPr>
                  <w:tcW w:w="862" w:type="pct"/>
                  <w:vAlign w:val="center"/>
                </w:tcPr>
                <w:p>
                  <w:pPr>
                    <w:pStyle w:val="67"/>
                    <w:rPr>
                      <w:lang w:eastAsia="zh-CN"/>
                    </w:rPr>
                  </w:pPr>
                  <w:r>
                    <w:rPr>
                      <w:rFonts w:hint="eastAsia"/>
                      <w:lang w:eastAsia="zh-CN"/>
                    </w:rPr>
                    <w:t>低灰分多孔炭（简称多孔炭）</w:t>
                  </w:r>
                </w:p>
              </w:tc>
              <w:tc>
                <w:tcPr>
                  <w:tcW w:w="983" w:type="pct"/>
                  <w:vAlign w:val="center"/>
                </w:tcPr>
                <w:p>
                  <w:pPr>
                    <w:pStyle w:val="67"/>
                  </w:pPr>
                  <w:r>
                    <w:rPr>
                      <w:rFonts w:hint="eastAsia"/>
                    </w:rPr>
                    <w:t>12.3万t</w:t>
                  </w:r>
                </w:p>
              </w:tc>
              <w:tc>
                <w:tcPr>
                  <w:tcW w:w="892" w:type="pct"/>
                  <w:vAlign w:val="center"/>
                </w:tcPr>
                <w:p>
                  <w:pPr>
                    <w:pStyle w:val="67"/>
                  </w:pPr>
                  <w:r>
                    <w:rPr>
                      <w:rFonts w:hint="eastAsia"/>
                    </w:rPr>
                    <w:t>含水率50%</w:t>
                  </w:r>
                </w:p>
              </w:tc>
              <w:tc>
                <w:tcPr>
                  <w:tcW w:w="1161" w:type="pct"/>
                  <w:vAlign w:val="center"/>
                </w:tcPr>
                <w:p>
                  <w:pPr>
                    <w:pStyle w:val="67"/>
                  </w:pPr>
                  <w:r>
                    <w:rPr>
                      <w:rFonts w:hint="eastAsia"/>
                    </w:rPr>
                    <w:t>厂区现有压滤机产物</w:t>
                  </w:r>
                </w:p>
              </w:tc>
              <w:tc>
                <w:tcPr>
                  <w:tcW w:w="669" w:type="pct"/>
                  <w:vAlign w:val="center"/>
                </w:tcPr>
                <w:p>
                  <w:pPr>
                    <w:pStyle w:val="67"/>
                  </w:pPr>
                  <w:r>
                    <w:rPr>
                      <w:rFonts w:hint="eastAsia"/>
                    </w:rPr>
                    <w:t>现有成品库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33" w:type="pct"/>
                  <w:vAlign w:val="center"/>
                </w:tcPr>
                <w:p>
                  <w:pPr>
                    <w:pStyle w:val="67"/>
                  </w:pPr>
                  <w:r>
                    <w:rPr>
                      <w:rFonts w:hint="eastAsia"/>
                    </w:rPr>
                    <w:t>2</w:t>
                  </w:r>
                </w:p>
              </w:tc>
              <w:tc>
                <w:tcPr>
                  <w:tcW w:w="862" w:type="pct"/>
                  <w:vAlign w:val="center"/>
                </w:tcPr>
                <w:p>
                  <w:pPr>
                    <w:pStyle w:val="67"/>
                    <w:rPr>
                      <w:lang w:eastAsia="zh-CN"/>
                    </w:rPr>
                  </w:pPr>
                  <w:r>
                    <w:rPr>
                      <w:rFonts w:hint="eastAsia"/>
                      <w:lang w:eastAsia="zh-CN"/>
                    </w:rPr>
                    <w:t>高灰分多孔炭（俗称煤泥）</w:t>
                  </w:r>
                </w:p>
              </w:tc>
              <w:tc>
                <w:tcPr>
                  <w:tcW w:w="983" w:type="pct"/>
                  <w:vAlign w:val="center"/>
                </w:tcPr>
                <w:p>
                  <w:pPr>
                    <w:pStyle w:val="67"/>
                    <w:rPr>
                      <w:lang w:eastAsia="zh-CN"/>
                    </w:rPr>
                  </w:pPr>
                  <w:r>
                    <w:rPr>
                      <w:rFonts w:hint="eastAsia"/>
                      <w:lang w:eastAsia="zh-CN"/>
                    </w:rPr>
                    <w:t>12.1万t</w:t>
                  </w:r>
                </w:p>
              </w:tc>
              <w:tc>
                <w:tcPr>
                  <w:tcW w:w="892" w:type="pct"/>
                  <w:vAlign w:val="center"/>
                </w:tcPr>
                <w:p>
                  <w:pPr>
                    <w:pStyle w:val="67"/>
                    <w:rPr>
                      <w:lang w:eastAsia="zh-CN"/>
                    </w:rPr>
                  </w:pPr>
                  <w:r>
                    <w:rPr>
                      <w:rFonts w:hint="eastAsia"/>
                      <w:lang w:eastAsia="zh-CN"/>
                    </w:rPr>
                    <w:t>含水率50%</w:t>
                  </w:r>
                </w:p>
              </w:tc>
              <w:tc>
                <w:tcPr>
                  <w:tcW w:w="1161" w:type="pct"/>
                  <w:vAlign w:val="center"/>
                </w:tcPr>
                <w:p>
                  <w:pPr>
                    <w:pStyle w:val="67"/>
                    <w:rPr>
                      <w:lang w:eastAsia="zh-CN"/>
                    </w:rPr>
                  </w:pPr>
                  <w:r>
                    <w:rPr>
                      <w:rFonts w:hint="eastAsia"/>
                      <w:lang w:eastAsia="zh-CN"/>
                    </w:rPr>
                    <w:t>厂区现有压滤机产物</w:t>
                  </w:r>
                </w:p>
              </w:tc>
              <w:tc>
                <w:tcPr>
                  <w:tcW w:w="669" w:type="pct"/>
                  <w:vAlign w:val="center"/>
                </w:tcPr>
                <w:p>
                  <w:pPr>
                    <w:pStyle w:val="67"/>
                    <w:rPr>
                      <w:lang w:eastAsia="zh-CN"/>
                    </w:rPr>
                  </w:pPr>
                  <w:r>
                    <w:rPr>
                      <w:rFonts w:hint="eastAsia"/>
                      <w:lang w:eastAsia="zh-CN"/>
                    </w:rPr>
                    <w:t>现有成品库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33" w:type="pct"/>
                  <w:vAlign w:val="center"/>
                </w:tcPr>
                <w:p>
                  <w:pPr>
                    <w:pStyle w:val="67"/>
                    <w:rPr>
                      <w:lang w:eastAsia="zh-CN"/>
                    </w:rPr>
                  </w:pPr>
                  <w:r>
                    <w:rPr>
                      <w:rFonts w:hint="eastAsia"/>
                      <w:lang w:eastAsia="zh-CN"/>
                    </w:rPr>
                    <w:t>3</w:t>
                  </w:r>
                </w:p>
              </w:tc>
              <w:tc>
                <w:tcPr>
                  <w:tcW w:w="862" w:type="pct"/>
                  <w:vAlign w:val="center"/>
                </w:tcPr>
                <w:p>
                  <w:pPr>
                    <w:pStyle w:val="67"/>
                    <w:rPr>
                      <w:lang w:eastAsia="zh-CN"/>
                    </w:rPr>
                  </w:pPr>
                  <w:r>
                    <w:rPr>
                      <w:rFonts w:hint="eastAsia"/>
                      <w:lang w:eastAsia="zh-CN"/>
                    </w:rPr>
                    <w:t>电</w:t>
                  </w:r>
                </w:p>
              </w:tc>
              <w:tc>
                <w:tcPr>
                  <w:tcW w:w="983" w:type="pct"/>
                  <w:vAlign w:val="center"/>
                </w:tcPr>
                <w:p>
                  <w:pPr>
                    <w:pStyle w:val="67"/>
                    <w:rPr>
                      <w:lang w:eastAsia="zh-CN"/>
                    </w:rPr>
                  </w:pPr>
                  <w:r>
                    <w:rPr>
                      <w:rFonts w:hint="eastAsia"/>
                      <w:lang w:eastAsia="zh-CN"/>
                    </w:rPr>
                    <w:t>6.8万kw</w:t>
                  </w:r>
                  <w:r>
                    <w:rPr>
                      <w:lang w:eastAsia="zh-CN"/>
                    </w:rPr>
                    <w:t>·</w:t>
                  </w:r>
                  <w:r>
                    <w:rPr>
                      <w:rFonts w:hint="eastAsia"/>
                      <w:lang w:eastAsia="zh-CN"/>
                    </w:rPr>
                    <w:t>h</w:t>
                  </w:r>
                </w:p>
              </w:tc>
              <w:tc>
                <w:tcPr>
                  <w:tcW w:w="892" w:type="pct"/>
                  <w:vAlign w:val="center"/>
                </w:tcPr>
                <w:p>
                  <w:pPr>
                    <w:pStyle w:val="67"/>
                    <w:rPr>
                      <w:lang w:eastAsia="zh-CN"/>
                    </w:rPr>
                  </w:pPr>
                  <w:r>
                    <w:rPr>
                      <w:lang w:eastAsia="zh-CN"/>
                    </w:rPr>
                    <w:t>/</w:t>
                  </w:r>
                </w:p>
              </w:tc>
              <w:tc>
                <w:tcPr>
                  <w:tcW w:w="1161" w:type="pct"/>
                  <w:vAlign w:val="center"/>
                </w:tcPr>
                <w:p>
                  <w:pPr>
                    <w:pStyle w:val="67"/>
                    <w:rPr>
                      <w:lang w:eastAsia="zh-CN"/>
                    </w:rPr>
                  </w:pPr>
                  <w:r>
                    <w:rPr>
                      <w:lang w:eastAsia="zh-CN"/>
                    </w:rPr>
                    <w:t>依托园区电网</w:t>
                  </w:r>
                </w:p>
              </w:tc>
              <w:tc>
                <w:tcPr>
                  <w:tcW w:w="669" w:type="pct"/>
                  <w:vAlign w:val="center"/>
                </w:tcPr>
                <w:p>
                  <w:pPr>
                    <w:pStyle w:val="67"/>
                    <w:rPr>
                      <w:lang w:eastAsia="zh-CN"/>
                    </w:rPr>
                  </w:pPr>
                  <w:r>
                    <w:rPr>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33" w:type="pct"/>
                  <w:vAlign w:val="center"/>
                </w:tcPr>
                <w:p>
                  <w:pPr>
                    <w:pStyle w:val="67"/>
                    <w:rPr>
                      <w:lang w:eastAsia="zh-CN"/>
                    </w:rPr>
                  </w:pPr>
                  <w:r>
                    <w:rPr>
                      <w:rFonts w:hint="eastAsia"/>
                      <w:lang w:eastAsia="zh-CN"/>
                    </w:rPr>
                    <w:t>4</w:t>
                  </w:r>
                </w:p>
              </w:tc>
              <w:tc>
                <w:tcPr>
                  <w:tcW w:w="862" w:type="pct"/>
                  <w:vAlign w:val="center"/>
                </w:tcPr>
                <w:p>
                  <w:pPr>
                    <w:pStyle w:val="67"/>
                    <w:rPr>
                      <w:lang w:eastAsia="zh-CN"/>
                    </w:rPr>
                  </w:pPr>
                  <w:r>
                    <w:rPr>
                      <w:rFonts w:hint="eastAsia"/>
                      <w:lang w:eastAsia="zh-CN"/>
                    </w:rPr>
                    <w:t>生物质燃料</w:t>
                  </w:r>
                </w:p>
              </w:tc>
              <w:tc>
                <w:tcPr>
                  <w:tcW w:w="983" w:type="pct"/>
                  <w:vAlign w:val="center"/>
                </w:tcPr>
                <w:p>
                  <w:pPr>
                    <w:pStyle w:val="67"/>
                    <w:rPr>
                      <w:lang w:eastAsia="zh-CN"/>
                    </w:rPr>
                  </w:pPr>
                  <w:r>
                    <w:rPr>
                      <w:lang w:eastAsia="zh-CN"/>
                    </w:rPr>
                    <w:t>1.36</w:t>
                  </w:r>
                  <w:r>
                    <w:rPr>
                      <w:rFonts w:hint="eastAsia"/>
                      <w:lang w:eastAsia="zh-CN"/>
                    </w:rPr>
                    <w:t>万t</w:t>
                  </w:r>
                </w:p>
              </w:tc>
              <w:tc>
                <w:tcPr>
                  <w:tcW w:w="892" w:type="pct"/>
                  <w:vAlign w:val="center"/>
                </w:tcPr>
                <w:p>
                  <w:pPr>
                    <w:pStyle w:val="67"/>
                    <w:rPr>
                      <w:lang w:eastAsia="zh-CN"/>
                    </w:rPr>
                  </w:pPr>
                  <w:r>
                    <w:rPr>
                      <w:lang w:eastAsia="zh-CN"/>
                    </w:rPr>
                    <w:t>固体，袋装</w:t>
                  </w:r>
                </w:p>
              </w:tc>
              <w:tc>
                <w:tcPr>
                  <w:tcW w:w="1161" w:type="pct"/>
                  <w:vAlign w:val="center"/>
                </w:tcPr>
                <w:p>
                  <w:pPr>
                    <w:pStyle w:val="67"/>
                    <w:rPr>
                      <w:lang w:eastAsia="zh-CN"/>
                    </w:rPr>
                  </w:pPr>
                  <w:r>
                    <w:rPr>
                      <w:lang w:eastAsia="zh-CN"/>
                    </w:rPr>
                    <w:t>外购，汽车运输</w:t>
                  </w:r>
                </w:p>
              </w:tc>
              <w:tc>
                <w:tcPr>
                  <w:tcW w:w="669" w:type="pct"/>
                  <w:vAlign w:val="center"/>
                </w:tcPr>
                <w:p>
                  <w:pPr>
                    <w:pStyle w:val="67"/>
                    <w:rPr>
                      <w:lang w:eastAsia="zh-CN"/>
                    </w:rPr>
                  </w:pPr>
                  <w:r>
                    <w:rPr>
                      <w:lang w:eastAsia="zh-CN"/>
                    </w:rPr>
                    <w:t>烘干区</w:t>
                  </w:r>
                </w:p>
              </w:tc>
            </w:tr>
            <w:bookmarkEnd w:id="79"/>
            <w:bookmarkEnd w:id="80"/>
          </w:tbl>
          <w:p>
            <w:pPr>
              <w:pStyle w:val="111"/>
              <w:ind w:firstLine="480"/>
            </w:pPr>
            <w:r>
              <w:rPr>
                <w:rFonts w:hint="eastAsia"/>
              </w:rPr>
              <w:t>（3）现有项目</w:t>
            </w:r>
            <w:r>
              <w:rPr>
                <w:rFonts w:hint="eastAsia"/>
                <w:color w:val="000000"/>
              </w:rPr>
              <w:t>产品方案</w:t>
            </w:r>
          </w:p>
          <w:bookmarkEnd w:id="81"/>
          <w:bookmarkEnd w:id="82"/>
          <w:p>
            <w:pPr>
              <w:spacing w:line="360" w:lineRule="auto"/>
              <w:ind w:firstLine="480" w:firstLineChars="200"/>
              <w:rPr>
                <w:rFonts w:ascii="Times New Roman" w:hAnsi="Times New Roman" w:eastAsia="宋体" w:cs="Times New Roman"/>
                <w:color w:val="000000"/>
                <w:sz w:val="24"/>
                <w:szCs w:val="24"/>
              </w:rPr>
            </w:pPr>
            <w:r>
              <w:rPr>
                <w:rFonts w:hint="eastAsia" w:ascii="Times New Roman" w:hAnsi="Times New Roman" w:eastAsia="宋体" w:cs="Times New Roman"/>
                <w:color w:val="000000"/>
                <w:sz w:val="24"/>
                <w:szCs w:val="24"/>
              </w:rPr>
              <w:t>现有项目产品方案见下表。</w:t>
            </w:r>
          </w:p>
          <w:p>
            <w:pPr>
              <w:pStyle w:val="111"/>
              <w:ind w:firstLine="482"/>
              <w:jc w:val="center"/>
              <w:rPr>
                <w:b/>
              </w:rPr>
            </w:pPr>
            <w:r>
              <w:rPr>
                <w:rFonts w:hint="eastAsia"/>
                <w:b/>
              </w:rPr>
              <w:t>表2-</w:t>
            </w:r>
            <w:r>
              <w:rPr>
                <w:b/>
              </w:rPr>
              <w:t>5</w:t>
            </w:r>
            <w:r>
              <w:rPr>
                <w:rFonts w:hint="eastAsia"/>
                <w:b/>
                <w:color w:val="000000"/>
              </w:rPr>
              <w:t>现有项目产品方案</w:t>
            </w:r>
            <w:r>
              <w:rPr>
                <w:b/>
              </w:rPr>
              <w:t>表</w:t>
            </w: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2"/>
              <w:gridCol w:w="2153"/>
              <w:gridCol w:w="1379"/>
              <w:gridCol w:w="38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3" w:type="pct"/>
                  <w:vAlign w:val="center"/>
                </w:tcPr>
                <w:p>
                  <w:pPr>
                    <w:pStyle w:val="88"/>
                    <w:rPr>
                      <w:b/>
                      <w:bCs/>
                    </w:rPr>
                  </w:pPr>
                  <w:r>
                    <w:rPr>
                      <w:b/>
                      <w:bCs/>
                    </w:rPr>
                    <w:t>产品类别</w:t>
                  </w:r>
                </w:p>
              </w:tc>
              <w:tc>
                <w:tcPr>
                  <w:tcW w:w="1249" w:type="pct"/>
                  <w:vAlign w:val="center"/>
                </w:tcPr>
                <w:p>
                  <w:pPr>
                    <w:pStyle w:val="88"/>
                    <w:rPr>
                      <w:b/>
                      <w:bCs/>
                    </w:rPr>
                  </w:pPr>
                  <w:r>
                    <w:rPr>
                      <w:b/>
                      <w:bCs/>
                    </w:rPr>
                    <w:t>产品</w:t>
                  </w:r>
                </w:p>
              </w:tc>
              <w:tc>
                <w:tcPr>
                  <w:tcW w:w="800" w:type="pct"/>
                  <w:vAlign w:val="center"/>
                </w:tcPr>
                <w:p>
                  <w:pPr>
                    <w:pStyle w:val="88"/>
                    <w:rPr>
                      <w:b/>
                      <w:bCs/>
                    </w:rPr>
                  </w:pPr>
                  <w:r>
                    <w:rPr>
                      <w:b/>
                      <w:bCs/>
                    </w:rPr>
                    <w:t>数量（万t/a）</w:t>
                  </w:r>
                </w:p>
              </w:tc>
              <w:tc>
                <w:tcPr>
                  <w:tcW w:w="2248" w:type="pct"/>
                  <w:vAlign w:val="center"/>
                </w:tcPr>
                <w:p>
                  <w:pPr>
                    <w:pStyle w:val="88"/>
                    <w:rPr>
                      <w:b/>
                      <w:bCs/>
                    </w:rPr>
                  </w:pPr>
                  <w:r>
                    <w:rPr>
                      <w:rFonts w:hint="eastAsia"/>
                      <w:b/>
                      <w:bCs/>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3" w:type="pct"/>
                  <w:vMerge w:val="restart"/>
                  <w:vAlign w:val="center"/>
                </w:tcPr>
                <w:p>
                  <w:pPr>
                    <w:pStyle w:val="88"/>
                  </w:pPr>
                  <w:r>
                    <w:t>多孔硅</w:t>
                  </w:r>
                </w:p>
              </w:tc>
              <w:tc>
                <w:tcPr>
                  <w:tcW w:w="1249" w:type="pct"/>
                  <w:vAlign w:val="center"/>
                </w:tcPr>
                <w:p>
                  <w:pPr>
                    <w:pStyle w:val="88"/>
                  </w:pPr>
                  <w:r>
                    <w:t>150目内多孔硅砂</w:t>
                  </w:r>
                </w:p>
              </w:tc>
              <w:tc>
                <w:tcPr>
                  <w:tcW w:w="800" w:type="pct"/>
                  <w:vAlign w:val="center"/>
                </w:tcPr>
                <w:p>
                  <w:pPr>
                    <w:pStyle w:val="88"/>
                  </w:pPr>
                  <w:r>
                    <w:t>9.5</w:t>
                  </w:r>
                </w:p>
              </w:tc>
              <w:tc>
                <w:tcPr>
                  <w:tcW w:w="2248" w:type="pct"/>
                  <w:vMerge w:val="restart"/>
                  <w:vAlign w:val="center"/>
                </w:tcPr>
                <w:p>
                  <w:pPr>
                    <w:pStyle w:val="88"/>
                  </w:pPr>
                  <w:r>
                    <w:t>《建筑用砂》（GB/T14684-2001）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3" w:type="pct"/>
                  <w:vMerge w:val="continue"/>
                  <w:vAlign w:val="center"/>
                </w:tcPr>
                <w:p>
                  <w:pPr>
                    <w:pStyle w:val="88"/>
                  </w:pPr>
                </w:p>
              </w:tc>
              <w:tc>
                <w:tcPr>
                  <w:tcW w:w="1249" w:type="pct"/>
                  <w:vAlign w:val="center"/>
                </w:tcPr>
                <w:p>
                  <w:pPr>
                    <w:pStyle w:val="88"/>
                  </w:pPr>
                  <w:r>
                    <w:t>150目外多孔硅砂</w:t>
                  </w:r>
                </w:p>
              </w:tc>
              <w:tc>
                <w:tcPr>
                  <w:tcW w:w="800" w:type="pct"/>
                  <w:vAlign w:val="center"/>
                </w:tcPr>
                <w:p>
                  <w:pPr>
                    <w:pStyle w:val="88"/>
                  </w:pPr>
                  <w:r>
                    <w:t>9.5</w:t>
                  </w:r>
                </w:p>
              </w:tc>
              <w:tc>
                <w:tcPr>
                  <w:tcW w:w="2248" w:type="pct"/>
                  <w:vMerge w:val="continue"/>
                  <w:vAlign w:val="center"/>
                </w:tcPr>
                <w:p>
                  <w:pPr>
                    <w:pStyle w:val="88"/>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03" w:type="pct"/>
                  <w:vMerge w:val="restart"/>
                  <w:vAlign w:val="center"/>
                </w:tcPr>
                <w:p>
                  <w:pPr>
                    <w:pStyle w:val="88"/>
                  </w:pPr>
                  <w:r>
                    <w:t>多孔炭</w:t>
                  </w:r>
                </w:p>
              </w:tc>
              <w:tc>
                <w:tcPr>
                  <w:tcW w:w="1249" w:type="pct"/>
                  <w:vAlign w:val="center"/>
                </w:tcPr>
                <w:p>
                  <w:pPr>
                    <w:pStyle w:val="88"/>
                  </w:pPr>
                  <w:r>
                    <w:t>低灰分多孔炭</w:t>
                  </w:r>
                  <w:r>
                    <w:rPr>
                      <w:rFonts w:hint="eastAsia"/>
                      <w:szCs w:val="21"/>
                    </w:rPr>
                    <w:t>（含水率20%）</w:t>
                  </w:r>
                </w:p>
              </w:tc>
              <w:tc>
                <w:tcPr>
                  <w:tcW w:w="800" w:type="pct"/>
                  <w:vAlign w:val="center"/>
                </w:tcPr>
                <w:p>
                  <w:pPr>
                    <w:pStyle w:val="88"/>
                  </w:pPr>
                  <w:r>
                    <w:rPr>
                      <w:bCs/>
                      <w:szCs w:val="21"/>
                    </w:rPr>
                    <w:t>76832</w:t>
                  </w:r>
                </w:p>
              </w:tc>
              <w:tc>
                <w:tcPr>
                  <w:tcW w:w="2248" w:type="pct"/>
                  <w:vAlign w:val="center"/>
                </w:tcPr>
                <w:p>
                  <w:pPr>
                    <w:pStyle w:val="88"/>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3" w:type="pct"/>
                  <w:vMerge w:val="continue"/>
                  <w:vAlign w:val="center"/>
                </w:tcPr>
                <w:p>
                  <w:pPr>
                    <w:pStyle w:val="88"/>
                  </w:pPr>
                </w:p>
              </w:tc>
              <w:tc>
                <w:tcPr>
                  <w:tcW w:w="1249" w:type="pct"/>
                  <w:vAlign w:val="center"/>
                </w:tcPr>
                <w:p>
                  <w:pPr>
                    <w:pStyle w:val="88"/>
                  </w:pPr>
                  <w:r>
                    <w:t>高灰分多孔炭</w:t>
                  </w:r>
                  <w:r>
                    <w:rPr>
                      <w:rFonts w:hint="eastAsia"/>
                      <w:szCs w:val="21"/>
                    </w:rPr>
                    <w:t>（煤泥）（含水率20%）</w:t>
                  </w:r>
                </w:p>
              </w:tc>
              <w:tc>
                <w:tcPr>
                  <w:tcW w:w="800" w:type="pct"/>
                  <w:vAlign w:val="center"/>
                </w:tcPr>
                <w:p>
                  <w:pPr>
                    <w:pStyle w:val="88"/>
                  </w:pPr>
                  <w:r>
                    <w:rPr>
                      <w:bCs/>
                      <w:szCs w:val="21"/>
                    </w:rPr>
                    <w:t>75584</w:t>
                  </w:r>
                </w:p>
              </w:tc>
              <w:tc>
                <w:tcPr>
                  <w:tcW w:w="2248" w:type="pct"/>
                  <w:vAlign w:val="center"/>
                </w:tcPr>
                <w:p>
                  <w:pPr>
                    <w:pStyle w:val="88"/>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3" w:type="pct"/>
                  <w:vAlign w:val="center"/>
                </w:tcPr>
                <w:p>
                  <w:pPr>
                    <w:pStyle w:val="88"/>
                  </w:pPr>
                  <w:r>
                    <w:t>细砂</w:t>
                  </w:r>
                </w:p>
              </w:tc>
              <w:tc>
                <w:tcPr>
                  <w:tcW w:w="1249" w:type="pct"/>
                  <w:vAlign w:val="center"/>
                </w:tcPr>
                <w:p>
                  <w:pPr>
                    <w:pStyle w:val="88"/>
                  </w:pPr>
                  <w:r>
                    <w:t>细砂</w:t>
                  </w:r>
                </w:p>
              </w:tc>
              <w:tc>
                <w:tcPr>
                  <w:tcW w:w="800" w:type="pct"/>
                  <w:vAlign w:val="center"/>
                </w:tcPr>
                <w:p>
                  <w:pPr>
                    <w:pStyle w:val="88"/>
                  </w:pPr>
                  <w:r>
                    <w:t>10</w:t>
                  </w:r>
                </w:p>
              </w:tc>
              <w:tc>
                <w:tcPr>
                  <w:tcW w:w="2248" w:type="pct"/>
                  <w:vAlign w:val="center"/>
                </w:tcPr>
                <w:p>
                  <w:pPr>
                    <w:pStyle w:val="88"/>
                  </w:pPr>
                  <w:r>
                    <w:t>《建筑用砂》 GB/T14684-200</w:t>
                  </w:r>
                </w:p>
              </w:tc>
            </w:tr>
          </w:tbl>
          <w:p>
            <w:pPr>
              <w:pStyle w:val="111"/>
              <w:ind w:firstLine="480"/>
            </w:pPr>
            <w:r>
              <w:rPr>
                <w:rFonts w:hint="eastAsia"/>
              </w:rPr>
              <w:t>（</w:t>
            </w:r>
            <w:r>
              <w:t>4</w:t>
            </w:r>
            <w:r>
              <w:rPr>
                <w:rFonts w:hint="eastAsia"/>
              </w:rPr>
              <w:t>）现有项目</w:t>
            </w:r>
            <w:bookmarkStart w:id="83" w:name="OLE_LINK109"/>
            <w:bookmarkStart w:id="84" w:name="OLE_LINK110"/>
            <w:r>
              <w:rPr>
                <w:rFonts w:hint="eastAsia"/>
              </w:rPr>
              <w:t>主要生产设备</w:t>
            </w:r>
            <w:bookmarkEnd w:id="83"/>
            <w:bookmarkEnd w:id="84"/>
          </w:p>
          <w:p>
            <w:pPr>
              <w:pStyle w:val="111"/>
              <w:ind w:firstLine="480"/>
              <w:jc w:val="left"/>
              <w:rPr>
                <w:color w:val="000000"/>
              </w:rPr>
            </w:pPr>
            <w:r>
              <w:rPr>
                <w:rFonts w:hint="eastAsia"/>
                <w:color w:val="000000"/>
              </w:rPr>
              <w:t>现有项目</w:t>
            </w:r>
            <w:bookmarkStart w:id="85" w:name="OLE_LINK126"/>
            <w:bookmarkStart w:id="86" w:name="OLE_LINK127"/>
            <w:r>
              <w:rPr>
                <w:rFonts w:hint="eastAsia"/>
              </w:rPr>
              <w:t>主要生产设备</w:t>
            </w:r>
            <w:bookmarkEnd w:id="85"/>
            <w:bookmarkEnd w:id="86"/>
            <w:r>
              <w:rPr>
                <w:rFonts w:hint="eastAsia"/>
                <w:color w:val="000000"/>
              </w:rPr>
              <w:t>见下表。</w:t>
            </w:r>
          </w:p>
          <w:p>
            <w:pPr>
              <w:pStyle w:val="111"/>
              <w:ind w:firstLine="482"/>
              <w:jc w:val="center"/>
              <w:rPr>
                <w:b/>
              </w:rPr>
            </w:pPr>
            <w:r>
              <w:rPr>
                <w:rFonts w:hint="eastAsia"/>
                <w:b/>
              </w:rPr>
              <w:t>表2-</w:t>
            </w:r>
            <w:r>
              <w:rPr>
                <w:b/>
              </w:rPr>
              <w:t>6</w:t>
            </w:r>
            <w:r>
              <w:rPr>
                <w:rFonts w:hint="eastAsia"/>
                <w:b/>
                <w:color w:val="000000"/>
              </w:rPr>
              <w:t>现有项目主要生产设备</w:t>
            </w:r>
            <w:r>
              <w:rPr>
                <w:b/>
              </w:rPr>
              <w:t>表</w:t>
            </w: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4"/>
              <w:gridCol w:w="2438"/>
              <w:gridCol w:w="1877"/>
              <w:gridCol w:w="30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pct"/>
                  <w:vAlign w:val="center"/>
                </w:tcPr>
                <w:p>
                  <w:pPr>
                    <w:pStyle w:val="88"/>
                  </w:pPr>
                  <w:bookmarkStart w:id="87" w:name="OLE_LINK10"/>
                  <w:bookmarkStart w:id="88" w:name="OLE_LINK11"/>
                  <w:r>
                    <w:rPr>
                      <w:rFonts w:hint="eastAsia"/>
                    </w:rPr>
                    <w:t>序号</w:t>
                  </w:r>
                </w:p>
              </w:tc>
              <w:tc>
                <w:tcPr>
                  <w:tcW w:w="1414" w:type="pct"/>
                  <w:vAlign w:val="center"/>
                </w:tcPr>
                <w:p>
                  <w:pPr>
                    <w:pStyle w:val="88"/>
                  </w:pPr>
                  <w:r>
                    <w:rPr>
                      <w:rFonts w:hint="eastAsia"/>
                    </w:rPr>
                    <w:t>设备名称</w:t>
                  </w:r>
                </w:p>
              </w:tc>
              <w:tc>
                <w:tcPr>
                  <w:tcW w:w="1089" w:type="pct"/>
                  <w:vAlign w:val="center"/>
                </w:tcPr>
                <w:p>
                  <w:pPr>
                    <w:pStyle w:val="88"/>
                  </w:pPr>
                  <w:r>
                    <w:rPr>
                      <w:rFonts w:hint="eastAsia"/>
                    </w:rPr>
                    <w:t>数量</w:t>
                  </w:r>
                </w:p>
              </w:tc>
              <w:tc>
                <w:tcPr>
                  <w:tcW w:w="1787" w:type="pct"/>
                  <w:vAlign w:val="center"/>
                </w:tcPr>
                <w:p>
                  <w:pPr>
                    <w:pStyle w:val="88"/>
                  </w:pPr>
                  <w:r>
                    <w:rPr>
                      <w:rFonts w:hint="eastAsia"/>
                    </w:rPr>
                    <w:t>型号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pct"/>
                  <w:vAlign w:val="center"/>
                </w:tcPr>
                <w:p>
                  <w:pPr>
                    <w:pStyle w:val="88"/>
                  </w:pPr>
                  <w:r>
                    <w:rPr>
                      <w:rFonts w:hint="eastAsia"/>
                    </w:rPr>
                    <w:t>1</w:t>
                  </w:r>
                </w:p>
              </w:tc>
              <w:tc>
                <w:tcPr>
                  <w:tcW w:w="1414" w:type="pct"/>
                  <w:vAlign w:val="center"/>
                </w:tcPr>
                <w:p>
                  <w:pPr>
                    <w:pStyle w:val="88"/>
                  </w:pPr>
                  <w:r>
                    <w:rPr>
                      <w:rFonts w:hint="eastAsia"/>
                    </w:rPr>
                    <w:t>给料机</w:t>
                  </w:r>
                </w:p>
              </w:tc>
              <w:tc>
                <w:tcPr>
                  <w:tcW w:w="1089" w:type="pct"/>
                  <w:vAlign w:val="center"/>
                </w:tcPr>
                <w:p>
                  <w:pPr>
                    <w:pStyle w:val="88"/>
                  </w:pPr>
                  <w:r>
                    <w:rPr>
                      <w:rFonts w:hint="eastAsia"/>
                    </w:rPr>
                    <w:t>1套</w:t>
                  </w:r>
                </w:p>
              </w:tc>
              <w:tc>
                <w:tcPr>
                  <w:tcW w:w="1787" w:type="pct"/>
                  <w:vAlign w:val="center"/>
                </w:tcPr>
                <w:p>
                  <w:pPr>
                    <w:pStyle w:val="88"/>
                  </w:pPr>
                  <w:r>
                    <w:rPr>
                      <w:rFonts w:hint="eastAsia"/>
                    </w:rPr>
                    <w:t>450*200*40cm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pct"/>
                  <w:vAlign w:val="center"/>
                </w:tcPr>
                <w:p>
                  <w:pPr>
                    <w:pStyle w:val="88"/>
                  </w:pPr>
                  <w:r>
                    <w:rPr>
                      <w:rFonts w:hint="eastAsia"/>
                    </w:rPr>
                    <w:t>2</w:t>
                  </w:r>
                </w:p>
              </w:tc>
              <w:tc>
                <w:tcPr>
                  <w:tcW w:w="1414" w:type="pct"/>
                  <w:vAlign w:val="center"/>
                </w:tcPr>
                <w:p>
                  <w:pPr>
                    <w:pStyle w:val="88"/>
                  </w:pPr>
                  <w:r>
                    <w:rPr>
                      <w:rFonts w:hint="eastAsia"/>
                    </w:rPr>
                    <w:t>滚筒筛</w:t>
                  </w:r>
                </w:p>
              </w:tc>
              <w:tc>
                <w:tcPr>
                  <w:tcW w:w="1089" w:type="pct"/>
                  <w:vAlign w:val="center"/>
                </w:tcPr>
                <w:p>
                  <w:pPr>
                    <w:pStyle w:val="88"/>
                  </w:pPr>
                  <w:r>
                    <w:rPr>
                      <w:rFonts w:hint="eastAsia"/>
                    </w:rPr>
                    <w:t>/</w:t>
                  </w:r>
                </w:p>
              </w:tc>
              <w:tc>
                <w:tcPr>
                  <w:tcW w:w="1787" w:type="pct"/>
                  <w:vAlign w:val="center"/>
                </w:tcPr>
                <w:p>
                  <w:pPr>
                    <w:pStyle w:val="88"/>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10" w:type="pct"/>
                  <w:vAlign w:val="center"/>
                </w:tcPr>
                <w:p>
                  <w:pPr>
                    <w:pStyle w:val="88"/>
                  </w:pPr>
                  <w:r>
                    <w:rPr>
                      <w:rFonts w:hint="eastAsia"/>
                    </w:rPr>
                    <w:t>3</w:t>
                  </w:r>
                </w:p>
              </w:tc>
              <w:tc>
                <w:tcPr>
                  <w:tcW w:w="1414" w:type="pct"/>
                  <w:vAlign w:val="center"/>
                </w:tcPr>
                <w:p>
                  <w:pPr>
                    <w:pStyle w:val="88"/>
                  </w:pPr>
                  <w:r>
                    <w:rPr>
                      <w:rFonts w:hint="eastAsia"/>
                    </w:rPr>
                    <w:t>传输机皮带</w:t>
                  </w:r>
                </w:p>
              </w:tc>
              <w:tc>
                <w:tcPr>
                  <w:tcW w:w="1089" w:type="pct"/>
                  <w:vAlign w:val="center"/>
                </w:tcPr>
                <w:p>
                  <w:pPr>
                    <w:pStyle w:val="88"/>
                  </w:pPr>
                  <w:r>
                    <w:rPr>
                      <w:rFonts w:hint="eastAsia"/>
                    </w:rPr>
                    <w:t>2套</w:t>
                  </w:r>
                </w:p>
              </w:tc>
              <w:tc>
                <w:tcPr>
                  <w:tcW w:w="1787" w:type="pct"/>
                  <w:vAlign w:val="center"/>
                </w:tcPr>
                <w:p>
                  <w:pPr>
                    <w:pStyle w:val="88"/>
                  </w:pPr>
                  <w:r>
                    <w:rPr>
                      <w:rFonts w:hint="eastAsia"/>
                    </w:rPr>
                    <w:t>80*2000cm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pct"/>
                  <w:vAlign w:val="center"/>
                </w:tcPr>
                <w:p>
                  <w:pPr>
                    <w:pStyle w:val="88"/>
                  </w:pPr>
                  <w:r>
                    <w:rPr>
                      <w:rFonts w:hint="eastAsia"/>
                    </w:rPr>
                    <w:t>4</w:t>
                  </w:r>
                </w:p>
              </w:tc>
              <w:tc>
                <w:tcPr>
                  <w:tcW w:w="1414" w:type="pct"/>
                  <w:vAlign w:val="center"/>
                </w:tcPr>
                <w:p>
                  <w:pPr>
                    <w:pStyle w:val="88"/>
                  </w:pPr>
                  <w:r>
                    <w:rPr>
                      <w:rFonts w:hint="eastAsia"/>
                    </w:rPr>
                    <w:t>螺旋绞笼</w:t>
                  </w:r>
                </w:p>
              </w:tc>
              <w:tc>
                <w:tcPr>
                  <w:tcW w:w="1089" w:type="pct"/>
                  <w:vAlign w:val="center"/>
                </w:tcPr>
                <w:p>
                  <w:pPr>
                    <w:pStyle w:val="88"/>
                  </w:pPr>
                  <w:r>
                    <w:rPr>
                      <w:rFonts w:hint="eastAsia"/>
                    </w:rPr>
                    <w:t>2台</w:t>
                  </w:r>
                </w:p>
              </w:tc>
              <w:tc>
                <w:tcPr>
                  <w:tcW w:w="1787" w:type="pct"/>
                  <w:vAlign w:val="center"/>
                </w:tcPr>
                <w:p>
                  <w:pPr>
                    <w:pStyle w:val="88"/>
                  </w:pPr>
                  <w:r>
                    <w:rPr>
                      <w:rFonts w:hint="eastAsia"/>
                    </w:rPr>
                    <w:t>1100*150cm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pct"/>
                  <w:vAlign w:val="center"/>
                </w:tcPr>
                <w:p>
                  <w:pPr>
                    <w:pStyle w:val="88"/>
                  </w:pPr>
                  <w:r>
                    <w:rPr>
                      <w:rFonts w:hint="eastAsia"/>
                    </w:rPr>
                    <w:t>5</w:t>
                  </w:r>
                </w:p>
              </w:tc>
              <w:tc>
                <w:tcPr>
                  <w:tcW w:w="1414" w:type="pct"/>
                  <w:vAlign w:val="center"/>
                </w:tcPr>
                <w:p>
                  <w:pPr>
                    <w:pStyle w:val="88"/>
                  </w:pPr>
                  <w:r>
                    <w:rPr>
                      <w:rFonts w:hint="eastAsia"/>
                    </w:rPr>
                    <w:t>装载机</w:t>
                  </w:r>
                </w:p>
              </w:tc>
              <w:tc>
                <w:tcPr>
                  <w:tcW w:w="1089" w:type="pct"/>
                  <w:vAlign w:val="center"/>
                </w:tcPr>
                <w:p>
                  <w:pPr>
                    <w:pStyle w:val="88"/>
                  </w:pPr>
                  <w:r>
                    <w:rPr>
                      <w:rFonts w:hint="eastAsia"/>
                    </w:rPr>
                    <w:t>2台</w:t>
                  </w:r>
                </w:p>
              </w:tc>
              <w:tc>
                <w:tcPr>
                  <w:tcW w:w="1787" w:type="pct"/>
                  <w:vAlign w:val="center"/>
                </w:tcPr>
                <w:p>
                  <w:pPr>
                    <w:pStyle w:val="88"/>
                  </w:pPr>
                  <w:r>
                    <w:rPr>
                      <w:rFonts w:hint="eastAsia"/>
                    </w:rPr>
                    <w:t>50型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pct"/>
                  <w:vAlign w:val="center"/>
                </w:tcPr>
                <w:p>
                  <w:pPr>
                    <w:pStyle w:val="88"/>
                  </w:pPr>
                  <w:r>
                    <w:rPr>
                      <w:rFonts w:hint="eastAsia"/>
                    </w:rPr>
                    <w:t>6</w:t>
                  </w:r>
                </w:p>
              </w:tc>
              <w:tc>
                <w:tcPr>
                  <w:tcW w:w="1414" w:type="pct"/>
                  <w:vAlign w:val="center"/>
                </w:tcPr>
                <w:p>
                  <w:pPr>
                    <w:pStyle w:val="88"/>
                  </w:pPr>
                  <w:r>
                    <w:rPr>
                      <w:rFonts w:hint="eastAsia"/>
                    </w:rPr>
                    <w:t>旋流分离器</w:t>
                  </w:r>
                </w:p>
              </w:tc>
              <w:tc>
                <w:tcPr>
                  <w:tcW w:w="1089" w:type="pct"/>
                  <w:vAlign w:val="center"/>
                </w:tcPr>
                <w:p>
                  <w:pPr>
                    <w:pStyle w:val="88"/>
                  </w:pPr>
                  <w:r>
                    <w:rPr>
                      <w:rFonts w:hint="eastAsia"/>
                    </w:rPr>
                    <w:t>40组</w:t>
                  </w:r>
                </w:p>
              </w:tc>
              <w:tc>
                <w:tcPr>
                  <w:tcW w:w="1787" w:type="pct"/>
                  <w:vAlign w:val="center"/>
                </w:tcPr>
                <w:p>
                  <w:pPr>
                    <w:pStyle w:val="88"/>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10" w:type="pct"/>
                  <w:vAlign w:val="center"/>
                </w:tcPr>
                <w:p>
                  <w:pPr>
                    <w:pStyle w:val="88"/>
                  </w:pPr>
                  <w:r>
                    <w:rPr>
                      <w:rFonts w:hint="eastAsia"/>
                    </w:rPr>
                    <w:t>7</w:t>
                  </w:r>
                </w:p>
              </w:tc>
              <w:tc>
                <w:tcPr>
                  <w:tcW w:w="1414" w:type="pct"/>
                  <w:vAlign w:val="center"/>
                </w:tcPr>
                <w:p>
                  <w:pPr>
                    <w:pStyle w:val="88"/>
                  </w:pPr>
                  <w:r>
                    <w:rPr>
                      <w:rFonts w:hint="eastAsia"/>
                    </w:rPr>
                    <w:t>脱水振动筛</w:t>
                  </w:r>
                </w:p>
              </w:tc>
              <w:tc>
                <w:tcPr>
                  <w:tcW w:w="1089" w:type="pct"/>
                  <w:vAlign w:val="center"/>
                </w:tcPr>
                <w:p>
                  <w:pPr>
                    <w:pStyle w:val="88"/>
                  </w:pPr>
                  <w:r>
                    <w:rPr>
                      <w:rFonts w:hint="eastAsia"/>
                    </w:rPr>
                    <w:t>16套</w:t>
                  </w:r>
                </w:p>
              </w:tc>
              <w:tc>
                <w:tcPr>
                  <w:tcW w:w="1787" w:type="pct"/>
                  <w:vAlign w:val="center"/>
                </w:tcPr>
                <w:p>
                  <w:pPr>
                    <w:pStyle w:val="88"/>
                  </w:pPr>
                  <w:r>
                    <w:rPr>
                      <w:rFonts w:hint="eastAsia"/>
                    </w:rPr>
                    <w:t>150*500cm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pct"/>
                  <w:vAlign w:val="center"/>
                </w:tcPr>
                <w:p>
                  <w:pPr>
                    <w:pStyle w:val="88"/>
                  </w:pPr>
                  <w:r>
                    <w:rPr>
                      <w:rFonts w:hint="eastAsia"/>
                    </w:rPr>
                    <w:t>8</w:t>
                  </w:r>
                </w:p>
              </w:tc>
              <w:tc>
                <w:tcPr>
                  <w:tcW w:w="1414" w:type="pct"/>
                  <w:vAlign w:val="center"/>
                </w:tcPr>
                <w:p>
                  <w:pPr>
                    <w:pStyle w:val="88"/>
                  </w:pPr>
                  <w:r>
                    <w:rPr>
                      <w:rFonts w:hint="eastAsia"/>
                    </w:rPr>
                    <w:t>压滤给料泵</w:t>
                  </w:r>
                </w:p>
              </w:tc>
              <w:tc>
                <w:tcPr>
                  <w:tcW w:w="1089" w:type="pct"/>
                  <w:vAlign w:val="center"/>
                </w:tcPr>
                <w:p>
                  <w:pPr>
                    <w:pStyle w:val="88"/>
                  </w:pPr>
                  <w:r>
                    <w:rPr>
                      <w:rFonts w:hint="eastAsia"/>
                    </w:rPr>
                    <w:t>3台</w:t>
                  </w:r>
                </w:p>
              </w:tc>
              <w:tc>
                <w:tcPr>
                  <w:tcW w:w="1787" w:type="pct"/>
                  <w:vAlign w:val="center"/>
                </w:tcPr>
                <w:p>
                  <w:pPr>
                    <w:pStyle w:val="88"/>
                  </w:pPr>
                  <w:r>
                    <w:rPr>
                      <w:rFonts w:hint="eastAsia"/>
                    </w:rPr>
                    <w:t>30型/45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pct"/>
                  <w:vAlign w:val="center"/>
                </w:tcPr>
                <w:p>
                  <w:pPr>
                    <w:pStyle w:val="88"/>
                  </w:pPr>
                  <w:r>
                    <w:rPr>
                      <w:rFonts w:hint="eastAsia"/>
                    </w:rPr>
                    <w:t>9</w:t>
                  </w:r>
                </w:p>
              </w:tc>
              <w:tc>
                <w:tcPr>
                  <w:tcW w:w="1414" w:type="pct"/>
                  <w:vAlign w:val="center"/>
                </w:tcPr>
                <w:p>
                  <w:pPr>
                    <w:pStyle w:val="88"/>
                  </w:pPr>
                  <w:r>
                    <w:rPr>
                      <w:rFonts w:hint="eastAsia"/>
                    </w:rPr>
                    <w:t>压滤机</w:t>
                  </w:r>
                </w:p>
              </w:tc>
              <w:tc>
                <w:tcPr>
                  <w:tcW w:w="1089" w:type="pct"/>
                  <w:vAlign w:val="center"/>
                </w:tcPr>
                <w:p>
                  <w:pPr>
                    <w:pStyle w:val="88"/>
                  </w:pPr>
                  <w:r>
                    <w:rPr>
                      <w:rFonts w:hint="eastAsia"/>
                    </w:rPr>
                    <w:t>4台</w:t>
                  </w:r>
                </w:p>
              </w:tc>
              <w:tc>
                <w:tcPr>
                  <w:tcW w:w="1787" w:type="pct"/>
                  <w:vAlign w:val="center"/>
                </w:tcPr>
                <w:p>
                  <w:pPr>
                    <w:pStyle w:val="88"/>
                  </w:pPr>
                  <w:r>
                    <w:rPr>
                      <w:rFonts w:hint="eastAsia"/>
                    </w:rPr>
                    <w:t>250m</w:t>
                  </w:r>
                  <w:r>
                    <w:rPr>
                      <w:rFonts w:hint="eastAsia"/>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pct"/>
                  <w:vAlign w:val="center"/>
                </w:tcPr>
                <w:p>
                  <w:pPr>
                    <w:pStyle w:val="88"/>
                  </w:pPr>
                  <w:r>
                    <w:rPr>
                      <w:rFonts w:hint="eastAsia"/>
                    </w:rPr>
                    <w:t>10</w:t>
                  </w:r>
                </w:p>
              </w:tc>
              <w:tc>
                <w:tcPr>
                  <w:tcW w:w="1414" w:type="pct"/>
                  <w:vAlign w:val="center"/>
                </w:tcPr>
                <w:p>
                  <w:pPr>
                    <w:pStyle w:val="88"/>
                  </w:pPr>
                  <w:r>
                    <w:rPr>
                      <w:rFonts w:hint="eastAsia"/>
                    </w:rPr>
                    <w:t>循环水泵</w:t>
                  </w:r>
                </w:p>
              </w:tc>
              <w:tc>
                <w:tcPr>
                  <w:tcW w:w="1089" w:type="pct"/>
                  <w:vAlign w:val="center"/>
                </w:tcPr>
                <w:p>
                  <w:pPr>
                    <w:pStyle w:val="88"/>
                  </w:pPr>
                  <w:r>
                    <w:rPr>
                      <w:rFonts w:hint="eastAsia"/>
                    </w:rPr>
                    <w:t>6台</w:t>
                  </w:r>
                </w:p>
              </w:tc>
              <w:tc>
                <w:tcPr>
                  <w:tcW w:w="1787" w:type="pct"/>
                  <w:vAlign w:val="center"/>
                </w:tcPr>
                <w:p>
                  <w:pPr>
                    <w:pStyle w:val="88"/>
                  </w:pPr>
                  <w:r>
                    <w:rPr>
                      <w:rFonts w:hint="eastAsia"/>
                    </w:rPr>
                    <w:t>30型/20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10" w:type="pct"/>
                  <w:vAlign w:val="center"/>
                </w:tcPr>
                <w:p>
                  <w:pPr>
                    <w:pStyle w:val="88"/>
                  </w:pPr>
                  <w:r>
                    <w:rPr>
                      <w:rFonts w:hint="eastAsia"/>
                    </w:rPr>
                    <w:t>11</w:t>
                  </w:r>
                </w:p>
              </w:tc>
              <w:tc>
                <w:tcPr>
                  <w:tcW w:w="1414" w:type="pct"/>
                  <w:vAlign w:val="center"/>
                </w:tcPr>
                <w:p>
                  <w:pPr>
                    <w:pStyle w:val="88"/>
                  </w:pPr>
                  <w:r>
                    <w:rPr>
                      <w:rFonts w:hint="eastAsia"/>
                    </w:rPr>
                    <w:t>配料池</w:t>
                  </w:r>
                </w:p>
              </w:tc>
              <w:tc>
                <w:tcPr>
                  <w:tcW w:w="1089" w:type="pct"/>
                  <w:vAlign w:val="center"/>
                </w:tcPr>
                <w:p>
                  <w:pPr>
                    <w:pStyle w:val="88"/>
                  </w:pPr>
                  <w:r>
                    <w:rPr>
                      <w:rFonts w:hint="eastAsia"/>
                    </w:rPr>
                    <w:t>128m</w:t>
                  </w:r>
                  <w:r>
                    <w:rPr>
                      <w:rFonts w:hint="eastAsia"/>
                      <w:vertAlign w:val="superscript"/>
                    </w:rPr>
                    <w:t>3</w:t>
                  </w:r>
                </w:p>
              </w:tc>
              <w:tc>
                <w:tcPr>
                  <w:tcW w:w="1787" w:type="pct"/>
                  <w:vAlign w:val="center"/>
                </w:tcPr>
                <w:p>
                  <w:pPr>
                    <w:pStyle w:val="88"/>
                  </w:pPr>
                  <w:r>
                    <w:rPr>
                      <w:rFonts w:hint="eastAsia"/>
                    </w:rPr>
                    <w:t>8 m *4 m *4m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pct"/>
                  <w:vAlign w:val="center"/>
                </w:tcPr>
                <w:p>
                  <w:pPr>
                    <w:pStyle w:val="88"/>
                  </w:pPr>
                  <w:r>
                    <w:rPr>
                      <w:rFonts w:hint="eastAsia"/>
                    </w:rPr>
                    <w:t>12</w:t>
                  </w:r>
                </w:p>
              </w:tc>
              <w:tc>
                <w:tcPr>
                  <w:tcW w:w="1414" w:type="pct"/>
                  <w:vAlign w:val="center"/>
                </w:tcPr>
                <w:p>
                  <w:pPr>
                    <w:pStyle w:val="88"/>
                  </w:pPr>
                  <w:r>
                    <w:rPr>
                      <w:rFonts w:hint="eastAsia"/>
                    </w:rPr>
                    <w:t>炭上升池</w:t>
                  </w:r>
                </w:p>
              </w:tc>
              <w:tc>
                <w:tcPr>
                  <w:tcW w:w="1089" w:type="pct"/>
                  <w:vAlign w:val="center"/>
                </w:tcPr>
                <w:p>
                  <w:pPr>
                    <w:pStyle w:val="88"/>
                  </w:pPr>
                  <w:r>
                    <w:rPr>
                      <w:rFonts w:hint="eastAsia"/>
                    </w:rPr>
                    <w:t>192m</w:t>
                  </w:r>
                  <w:r>
                    <w:rPr>
                      <w:rFonts w:hint="eastAsia"/>
                      <w:vertAlign w:val="superscript"/>
                    </w:rPr>
                    <w:t>3</w:t>
                  </w:r>
                </w:p>
              </w:tc>
              <w:tc>
                <w:tcPr>
                  <w:tcW w:w="1787" w:type="pct"/>
                  <w:vAlign w:val="center"/>
                </w:tcPr>
                <w:p>
                  <w:pPr>
                    <w:pStyle w:val="88"/>
                  </w:pPr>
                  <w:r>
                    <w:rPr>
                      <w:rFonts w:hint="eastAsia"/>
                    </w:rPr>
                    <w:t>16 m *3 m *4m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pct"/>
                  <w:vAlign w:val="center"/>
                </w:tcPr>
                <w:p>
                  <w:pPr>
                    <w:pStyle w:val="88"/>
                  </w:pPr>
                  <w:r>
                    <w:rPr>
                      <w:rFonts w:hint="eastAsia"/>
                    </w:rPr>
                    <w:t>13</w:t>
                  </w:r>
                </w:p>
              </w:tc>
              <w:tc>
                <w:tcPr>
                  <w:tcW w:w="1414" w:type="pct"/>
                  <w:vAlign w:val="center"/>
                </w:tcPr>
                <w:p>
                  <w:pPr>
                    <w:pStyle w:val="88"/>
                  </w:pPr>
                  <w:r>
                    <w:rPr>
                      <w:rFonts w:hint="eastAsia"/>
                    </w:rPr>
                    <w:t>循环池</w:t>
                  </w:r>
                </w:p>
              </w:tc>
              <w:tc>
                <w:tcPr>
                  <w:tcW w:w="1089" w:type="pct"/>
                  <w:vAlign w:val="center"/>
                </w:tcPr>
                <w:p>
                  <w:pPr>
                    <w:pStyle w:val="88"/>
                  </w:pPr>
                  <w:r>
                    <w:rPr>
                      <w:rFonts w:hint="eastAsia"/>
                    </w:rPr>
                    <w:t>800m</w:t>
                  </w:r>
                  <w:r>
                    <w:rPr>
                      <w:rFonts w:hint="eastAsia"/>
                      <w:vertAlign w:val="superscript"/>
                    </w:rPr>
                    <w:t>3</w:t>
                  </w:r>
                </w:p>
              </w:tc>
              <w:tc>
                <w:tcPr>
                  <w:tcW w:w="1787" w:type="pct"/>
                  <w:vAlign w:val="center"/>
                </w:tcPr>
                <w:p>
                  <w:pPr>
                    <w:pStyle w:val="88"/>
                  </w:pPr>
                  <w:r>
                    <w:rPr>
                      <w:rFonts w:hint="eastAsia"/>
                    </w:rPr>
                    <w:t>20m *10 m *4m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pct"/>
                  <w:vAlign w:val="center"/>
                </w:tcPr>
                <w:p>
                  <w:pPr>
                    <w:pStyle w:val="88"/>
                  </w:pPr>
                  <w:r>
                    <w:rPr>
                      <w:rFonts w:hint="eastAsia"/>
                    </w:rPr>
                    <w:t>14</w:t>
                  </w:r>
                </w:p>
              </w:tc>
              <w:tc>
                <w:tcPr>
                  <w:tcW w:w="1414" w:type="pct"/>
                  <w:vAlign w:val="center"/>
                </w:tcPr>
                <w:p>
                  <w:pPr>
                    <w:pStyle w:val="88"/>
                  </w:pPr>
                  <w:r>
                    <w:rPr>
                      <w:rFonts w:hint="eastAsia"/>
                    </w:rPr>
                    <w:t>浓缩池</w:t>
                  </w:r>
                </w:p>
              </w:tc>
              <w:tc>
                <w:tcPr>
                  <w:tcW w:w="1089" w:type="pct"/>
                  <w:vAlign w:val="center"/>
                </w:tcPr>
                <w:p>
                  <w:pPr>
                    <w:pStyle w:val="88"/>
                  </w:pPr>
                  <w:r>
                    <w:rPr>
                      <w:rFonts w:hint="eastAsia"/>
                    </w:rPr>
                    <w:t>3*300m</w:t>
                  </w:r>
                  <w:r>
                    <w:rPr>
                      <w:rFonts w:hint="eastAsia"/>
                      <w:vertAlign w:val="superscript"/>
                    </w:rPr>
                    <w:t>3</w:t>
                  </w:r>
                </w:p>
              </w:tc>
              <w:tc>
                <w:tcPr>
                  <w:tcW w:w="1787" w:type="pct"/>
                  <w:vAlign w:val="center"/>
                </w:tcPr>
                <w:p>
                  <w:pPr>
                    <w:pStyle w:val="88"/>
                  </w:pPr>
                  <w:r>
                    <w:rPr>
                      <w:rFonts w:hint="eastAsia" w:ascii="宋体" w:hAnsi="宋体"/>
                    </w:rPr>
                    <w:t>Φ</w:t>
                  </w:r>
                  <w:r>
                    <w:rPr>
                      <w:rFonts w:hint="eastAsia"/>
                    </w:rPr>
                    <w:t>1000*400cm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10" w:type="pct"/>
                  <w:vAlign w:val="center"/>
                </w:tcPr>
                <w:p>
                  <w:pPr>
                    <w:pStyle w:val="88"/>
                  </w:pPr>
                  <w:bookmarkStart w:id="89" w:name="_Hlk210116441"/>
                  <w:r>
                    <w:rPr>
                      <w:rFonts w:hint="eastAsia"/>
                    </w:rPr>
                    <w:t>15</w:t>
                  </w:r>
                </w:p>
              </w:tc>
              <w:tc>
                <w:tcPr>
                  <w:tcW w:w="1414" w:type="pct"/>
                  <w:vAlign w:val="center"/>
                </w:tcPr>
                <w:p>
                  <w:pPr>
                    <w:pStyle w:val="88"/>
                  </w:pPr>
                  <w:r>
                    <w:rPr>
                      <w:rFonts w:hint="eastAsia"/>
                      <w:szCs w:val="21"/>
                    </w:rPr>
                    <w:t>滚筒式烘干机</w:t>
                  </w:r>
                </w:p>
              </w:tc>
              <w:tc>
                <w:tcPr>
                  <w:tcW w:w="1089" w:type="pct"/>
                  <w:vAlign w:val="center"/>
                </w:tcPr>
                <w:p>
                  <w:pPr>
                    <w:pStyle w:val="88"/>
                  </w:pPr>
                  <w:r>
                    <w:rPr>
                      <w:rFonts w:hint="eastAsia"/>
                      <w:szCs w:val="21"/>
                    </w:rPr>
                    <w:t>2</w:t>
                  </w:r>
                </w:p>
              </w:tc>
              <w:tc>
                <w:tcPr>
                  <w:tcW w:w="1787" w:type="pct"/>
                  <w:vAlign w:val="center"/>
                </w:tcPr>
                <w:p>
                  <w:pPr>
                    <w:pStyle w:val="88"/>
                    <w:rPr>
                      <w:rFonts w:ascii="宋体" w:hAnsi="宋体"/>
                    </w:rPr>
                  </w:pPr>
                  <w:r>
                    <w:rPr>
                      <w:rFonts w:hint="eastAsia"/>
                      <w:szCs w:val="21"/>
                    </w:rPr>
                    <w:t>45t/h，20m×DN1.8m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pct"/>
                  <w:vAlign w:val="center"/>
                </w:tcPr>
                <w:p>
                  <w:pPr>
                    <w:pStyle w:val="88"/>
                  </w:pPr>
                  <w:r>
                    <w:rPr>
                      <w:rFonts w:hint="eastAsia"/>
                    </w:rPr>
                    <w:t>16</w:t>
                  </w:r>
                </w:p>
              </w:tc>
              <w:tc>
                <w:tcPr>
                  <w:tcW w:w="1414" w:type="pct"/>
                  <w:vAlign w:val="center"/>
                </w:tcPr>
                <w:p>
                  <w:pPr>
                    <w:pStyle w:val="88"/>
                  </w:pPr>
                  <w:r>
                    <w:rPr>
                      <w:rFonts w:hint="eastAsia"/>
                      <w:szCs w:val="21"/>
                    </w:rPr>
                    <w:t>振动式烘干机</w:t>
                  </w:r>
                </w:p>
              </w:tc>
              <w:tc>
                <w:tcPr>
                  <w:tcW w:w="1089" w:type="pct"/>
                  <w:vAlign w:val="center"/>
                </w:tcPr>
                <w:p>
                  <w:pPr>
                    <w:pStyle w:val="88"/>
                  </w:pPr>
                  <w:r>
                    <w:rPr>
                      <w:rFonts w:hint="eastAsia"/>
                      <w:szCs w:val="21"/>
                    </w:rPr>
                    <w:t>2</w:t>
                  </w:r>
                </w:p>
              </w:tc>
              <w:tc>
                <w:tcPr>
                  <w:tcW w:w="1787" w:type="pct"/>
                  <w:vAlign w:val="center"/>
                </w:tcPr>
                <w:p>
                  <w:pPr>
                    <w:pStyle w:val="88"/>
                    <w:rPr>
                      <w:rFonts w:ascii="宋体" w:hAnsi="宋体"/>
                    </w:rPr>
                  </w:pPr>
                  <w:r>
                    <w:rPr>
                      <w:rFonts w:hint="eastAsia"/>
                      <w:szCs w:val="21"/>
                    </w:rPr>
                    <w:t>45t/h，24m×0.5m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pct"/>
                  <w:vAlign w:val="center"/>
                </w:tcPr>
                <w:p>
                  <w:pPr>
                    <w:pStyle w:val="88"/>
                  </w:pPr>
                  <w:r>
                    <w:rPr>
                      <w:rFonts w:hint="eastAsia"/>
                    </w:rPr>
                    <w:t>17</w:t>
                  </w:r>
                </w:p>
              </w:tc>
              <w:tc>
                <w:tcPr>
                  <w:tcW w:w="1414" w:type="pct"/>
                  <w:vAlign w:val="center"/>
                </w:tcPr>
                <w:p>
                  <w:pPr>
                    <w:pStyle w:val="88"/>
                  </w:pPr>
                  <w:r>
                    <w:rPr>
                      <w:rFonts w:hint="eastAsia"/>
                      <w:szCs w:val="21"/>
                    </w:rPr>
                    <w:t>输送皮带</w:t>
                  </w:r>
                </w:p>
              </w:tc>
              <w:tc>
                <w:tcPr>
                  <w:tcW w:w="1089" w:type="pct"/>
                  <w:vAlign w:val="center"/>
                </w:tcPr>
                <w:p>
                  <w:pPr>
                    <w:pStyle w:val="88"/>
                  </w:pPr>
                  <w:r>
                    <w:rPr>
                      <w:rFonts w:hint="eastAsia"/>
                      <w:szCs w:val="21"/>
                    </w:rPr>
                    <w:t>6</w:t>
                  </w:r>
                </w:p>
              </w:tc>
              <w:tc>
                <w:tcPr>
                  <w:tcW w:w="1787" w:type="pct"/>
                  <w:vAlign w:val="center"/>
                </w:tcPr>
                <w:p>
                  <w:pPr>
                    <w:pStyle w:val="88"/>
                    <w:rPr>
                      <w:rFonts w:ascii="宋体" w:hAnsi="宋体"/>
                    </w:rPr>
                  </w:pPr>
                  <w:r>
                    <w:rPr>
                      <w:rFonts w:hint="eastAsia"/>
                      <w:szCs w:val="21"/>
                    </w:rPr>
                    <w:t>非标</w:t>
                  </w:r>
                  <w:r>
                    <w:rPr>
                      <w:rFonts w:hint="eastAsia" w:ascii="宋体" w:hAnsi="宋体"/>
                      <w:szCs w:val="21"/>
                    </w:rPr>
                    <w:t>,</w:t>
                  </w:r>
                  <w:r>
                    <w:rPr>
                      <w:rFonts w:hint="eastAsia"/>
                      <w:szCs w:val="21"/>
                    </w:rPr>
                    <w:t>6m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pct"/>
                  <w:vAlign w:val="center"/>
                </w:tcPr>
                <w:p>
                  <w:pPr>
                    <w:pStyle w:val="88"/>
                  </w:pPr>
                  <w:r>
                    <w:rPr>
                      <w:rFonts w:hint="eastAsia"/>
                    </w:rPr>
                    <w:t>18</w:t>
                  </w:r>
                </w:p>
              </w:tc>
              <w:tc>
                <w:tcPr>
                  <w:tcW w:w="1414" w:type="pct"/>
                  <w:vAlign w:val="center"/>
                </w:tcPr>
                <w:p>
                  <w:pPr>
                    <w:pStyle w:val="88"/>
                  </w:pPr>
                  <w:r>
                    <w:rPr>
                      <w:rFonts w:hint="eastAsia"/>
                      <w:szCs w:val="21"/>
                    </w:rPr>
                    <w:t>电机</w:t>
                  </w:r>
                </w:p>
              </w:tc>
              <w:tc>
                <w:tcPr>
                  <w:tcW w:w="1089" w:type="pct"/>
                  <w:vAlign w:val="center"/>
                </w:tcPr>
                <w:p>
                  <w:pPr>
                    <w:pStyle w:val="88"/>
                  </w:pPr>
                  <w:r>
                    <w:rPr>
                      <w:rFonts w:hint="eastAsia"/>
                      <w:szCs w:val="21"/>
                    </w:rPr>
                    <w:t>20</w:t>
                  </w:r>
                </w:p>
              </w:tc>
              <w:tc>
                <w:tcPr>
                  <w:tcW w:w="1787" w:type="pct"/>
                  <w:vAlign w:val="center"/>
                </w:tcPr>
                <w:p>
                  <w:pPr>
                    <w:pStyle w:val="88"/>
                    <w:rPr>
                      <w:rFonts w:ascii="宋体" w:hAnsi="宋体"/>
                    </w:rPr>
                  </w:pP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10" w:type="pct"/>
                  <w:vAlign w:val="center"/>
                </w:tcPr>
                <w:p>
                  <w:pPr>
                    <w:pStyle w:val="88"/>
                  </w:pPr>
                  <w:r>
                    <w:rPr>
                      <w:rFonts w:hint="eastAsia"/>
                    </w:rPr>
                    <w:t>19</w:t>
                  </w:r>
                </w:p>
              </w:tc>
              <w:tc>
                <w:tcPr>
                  <w:tcW w:w="1414" w:type="pct"/>
                  <w:vAlign w:val="center"/>
                </w:tcPr>
                <w:p>
                  <w:pPr>
                    <w:pStyle w:val="88"/>
                  </w:pPr>
                  <w:r>
                    <w:rPr>
                      <w:rFonts w:hint="eastAsia"/>
                      <w:szCs w:val="21"/>
                    </w:rPr>
                    <w:t>料斗</w:t>
                  </w:r>
                </w:p>
              </w:tc>
              <w:tc>
                <w:tcPr>
                  <w:tcW w:w="1089" w:type="pct"/>
                  <w:vAlign w:val="center"/>
                </w:tcPr>
                <w:p>
                  <w:pPr>
                    <w:pStyle w:val="88"/>
                  </w:pPr>
                  <w:r>
                    <w:rPr>
                      <w:rFonts w:hint="eastAsia"/>
                      <w:szCs w:val="21"/>
                    </w:rPr>
                    <w:t>4</w:t>
                  </w:r>
                </w:p>
              </w:tc>
              <w:tc>
                <w:tcPr>
                  <w:tcW w:w="1787" w:type="pct"/>
                  <w:vAlign w:val="center"/>
                </w:tcPr>
                <w:p>
                  <w:pPr>
                    <w:pStyle w:val="88"/>
                    <w:rPr>
                      <w:rFonts w:ascii="宋体" w:hAnsi="宋体"/>
                    </w:rPr>
                  </w:pPr>
                  <w:r>
                    <w:rPr>
                      <w:rFonts w:hint="eastAsia"/>
                      <w:szCs w:val="21"/>
                    </w:rPr>
                    <w:t>2</w:t>
                  </w:r>
                  <w:r>
                    <w:rPr>
                      <w:szCs w:val="21"/>
                    </w:rPr>
                    <w:t>m×</w:t>
                  </w:r>
                  <w:r>
                    <w:rPr>
                      <w:rFonts w:hint="eastAsia"/>
                      <w:szCs w:val="21"/>
                    </w:rPr>
                    <w:t>3</w:t>
                  </w:r>
                  <w:r>
                    <w:rPr>
                      <w:szCs w:val="21"/>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pct"/>
                  <w:vAlign w:val="center"/>
                </w:tcPr>
                <w:p>
                  <w:pPr>
                    <w:pStyle w:val="88"/>
                  </w:pPr>
                  <w:r>
                    <w:rPr>
                      <w:rFonts w:hint="eastAsia"/>
                    </w:rPr>
                    <w:t>20</w:t>
                  </w:r>
                </w:p>
              </w:tc>
              <w:tc>
                <w:tcPr>
                  <w:tcW w:w="1414" w:type="pct"/>
                  <w:vAlign w:val="center"/>
                </w:tcPr>
                <w:p>
                  <w:pPr>
                    <w:pStyle w:val="88"/>
                  </w:pPr>
                  <w:r>
                    <w:rPr>
                      <w:rFonts w:hint="eastAsia"/>
                      <w:szCs w:val="21"/>
                    </w:rPr>
                    <w:t>定量给料机</w:t>
                  </w:r>
                </w:p>
              </w:tc>
              <w:tc>
                <w:tcPr>
                  <w:tcW w:w="1089" w:type="pct"/>
                  <w:vAlign w:val="center"/>
                </w:tcPr>
                <w:p>
                  <w:pPr>
                    <w:pStyle w:val="88"/>
                  </w:pPr>
                  <w:r>
                    <w:rPr>
                      <w:rFonts w:hint="eastAsia"/>
                      <w:szCs w:val="21"/>
                    </w:rPr>
                    <w:t>2</w:t>
                  </w:r>
                </w:p>
              </w:tc>
              <w:tc>
                <w:tcPr>
                  <w:tcW w:w="1787" w:type="pct"/>
                  <w:vAlign w:val="center"/>
                </w:tcPr>
                <w:p>
                  <w:pPr>
                    <w:pStyle w:val="88"/>
                    <w:rPr>
                      <w:rFonts w:ascii="宋体" w:hAnsi="宋体"/>
                    </w:rPr>
                  </w:pPr>
                  <w:r>
                    <w:rPr>
                      <w:rFonts w:hint="eastAsia"/>
                      <w:szCs w:val="21"/>
                    </w:rPr>
                    <w:t>非标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pct"/>
                  <w:vAlign w:val="center"/>
                </w:tcPr>
                <w:p>
                  <w:pPr>
                    <w:pStyle w:val="88"/>
                  </w:pPr>
                  <w:r>
                    <w:rPr>
                      <w:rFonts w:hint="eastAsia"/>
                    </w:rPr>
                    <w:t>21</w:t>
                  </w:r>
                </w:p>
              </w:tc>
              <w:tc>
                <w:tcPr>
                  <w:tcW w:w="1414" w:type="pct"/>
                  <w:vAlign w:val="center"/>
                </w:tcPr>
                <w:p>
                  <w:pPr>
                    <w:pStyle w:val="88"/>
                  </w:pPr>
                  <w:r>
                    <w:rPr>
                      <w:rFonts w:hint="eastAsia"/>
                      <w:szCs w:val="21"/>
                    </w:rPr>
                    <w:t>生物质颗粒燃烧机</w:t>
                  </w:r>
                </w:p>
              </w:tc>
              <w:tc>
                <w:tcPr>
                  <w:tcW w:w="1089" w:type="pct"/>
                  <w:vAlign w:val="center"/>
                </w:tcPr>
                <w:p>
                  <w:pPr>
                    <w:pStyle w:val="88"/>
                  </w:pPr>
                  <w:r>
                    <w:rPr>
                      <w:rFonts w:hint="eastAsia"/>
                      <w:szCs w:val="21"/>
                    </w:rPr>
                    <w:t>4</w:t>
                  </w:r>
                </w:p>
              </w:tc>
              <w:tc>
                <w:tcPr>
                  <w:tcW w:w="1787" w:type="pct"/>
                  <w:vAlign w:val="center"/>
                </w:tcPr>
                <w:p>
                  <w:pPr>
                    <w:pStyle w:val="88"/>
                    <w:rPr>
                      <w:rFonts w:ascii="宋体" w:hAnsi="宋体"/>
                    </w:rPr>
                  </w:pPr>
                  <w:r>
                    <w:rPr>
                      <w:rFonts w:hint="eastAsia"/>
                      <w:szCs w:val="21"/>
                    </w:rPr>
                    <w:t>1.5m×1m×1.2m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10" w:type="pct"/>
                  <w:vAlign w:val="center"/>
                </w:tcPr>
                <w:p>
                  <w:pPr>
                    <w:pStyle w:val="88"/>
                  </w:pPr>
                  <w:r>
                    <w:rPr>
                      <w:rFonts w:hint="eastAsia"/>
                    </w:rPr>
                    <w:t>22</w:t>
                  </w:r>
                </w:p>
              </w:tc>
              <w:tc>
                <w:tcPr>
                  <w:tcW w:w="1414" w:type="pct"/>
                  <w:vAlign w:val="center"/>
                </w:tcPr>
                <w:p>
                  <w:pPr>
                    <w:pStyle w:val="88"/>
                  </w:pPr>
                  <w:r>
                    <w:rPr>
                      <w:rFonts w:hint="eastAsia"/>
                      <w:szCs w:val="21"/>
                    </w:rPr>
                    <w:t>风机</w:t>
                  </w:r>
                </w:p>
              </w:tc>
              <w:tc>
                <w:tcPr>
                  <w:tcW w:w="1089" w:type="pct"/>
                  <w:vAlign w:val="center"/>
                </w:tcPr>
                <w:p>
                  <w:pPr>
                    <w:pStyle w:val="88"/>
                  </w:pPr>
                  <w:r>
                    <w:rPr>
                      <w:szCs w:val="21"/>
                    </w:rPr>
                    <w:t>8</w:t>
                  </w:r>
                </w:p>
              </w:tc>
              <w:tc>
                <w:tcPr>
                  <w:tcW w:w="1787" w:type="pct"/>
                  <w:vAlign w:val="center"/>
                </w:tcPr>
                <w:p>
                  <w:pPr>
                    <w:pStyle w:val="88"/>
                    <w:rPr>
                      <w:rFonts w:ascii="宋体" w:hAnsi="宋体"/>
                    </w:rPr>
                  </w:pP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10" w:type="pct"/>
                  <w:vAlign w:val="center"/>
                </w:tcPr>
                <w:p>
                  <w:pPr>
                    <w:pStyle w:val="88"/>
                  </w:pPr>
                  <w:r>
                    <w:rPr>
                      <w:rFonts w:hint="eastAsia"/>
                    </w:rPr>
                    <w:t>23</w:t>
                  </w:r>
                </w:p>
              </w:tc>
              <w:tc>
                <w:tcPr>
                  <w:tcW w:w="1414" w:type="pct"/>
                  <w:vAlign w:val="center"/>
                </w:tcPr>
                <w:p>
                  <w:pPr>
                    <w:pStyle w:val="88"/>
                  </w:pPr>
                  <w:r>
                    <w:rPr>
                      <w:rFonts w:hint="eastAsia"/>
                      <w:szCs w:val="21"/>
                    </w:rPr>
                    <w:t>装载机</w:t>
                  </w:r>
                </w:p>
              </w:tc>
              <w:tc>
                <w:tcPr>
                  <w:tcW w:w="1089" w:type="pct"/>
                  <w:vAlign w:val="center"/>
                </w:tcPr>
                <w:p>
                  <w:pPr>
                    <w:pStyle w:val="88"/>
                  </w:pPr>
                  <w:r>
                    <w:rPr>
                      <w:rFonts w:hint="eastAsia"/>
                      <w:szCs w:val="21"/>
                    </w:rPr>
                    <w:t>2</w:t>
                  </w:r>
                </w:p>
              </w:tc>
              <w:tc>
                <w:tcPr>
                  <w:tcW w:w="1787" w:type="pct"/>
                  <w:vAlign w:val="center"/>
                </w:tcPr>
                <w:p>
                  <w:pPr>
                    <w:pStyle w:val="88"/>
                    <w:rPr>
                      <w:rFonts w:ascii="宋体" w:hAnsi="宋体"/>
                    </w:rPr>
                  </w:pPr>
                  <w:r>
                    <w:rPr>
                      <w:rFonts w:hint="eastAsia"/>
                      <w:szCs w:val="21"/>
                    </w:rPr>
                    <w:t>/</w:t>
                  </w:r>
                </w:p>
              </w:tc>
            </w:tr>
            <w:bookmarkEnd w:id="87"/>
            <w:bookmarkEnd w:id="88"/>
            <w:bookmarkEnd w:id="89"/>
          </w:tbl>
          <w:p>
            <w:pPr>
              <w:pStyle w:val="111"/>
              <w:ind w:firstLine="480"/>
            </w:pPr>
            <w:r>
              <w:rPr>
                <w:rFonts w:hint="eastAsia"/>
              </w:rPr>
              <w:t>（5）现有工程工艺流程</w:t>
            </w:r>
          </w:p>
          <w:p>
            <w:pPr>
              <w:pStyle w:val="111"/>
              <w:ind w:firstLine="480"/>
            </w:pPr>
            <w:r>
              <w:rPr>
                <w:rFonts w:hint="eastAsia"/>
              </w:rPr>
              <w:t>现有工程的工艺流程如下：</w:t>
            </w:r>
          </w:p>
          <w:p>
            <w:pPr>
              <w:pStyle w:val="111"/>
              <w:ind w:firstLine="480"/>
            </w:pPr>
            <w:r>
              <w:rPr>
                <w:rFonts w:hint="eastAsia"/>
              </w:rPr>
              <w:t>①</w:t>
            </w:r>
            <w:r>
              <w:rPr>
                <w:rFonts w:hint="eastAsia"/>
                <w:bCs/>
                <w:color w:val="000000"/>
                <w:kern w:val="0"/>
              </w:rPr>
              <w:t>低灰分多孔炭和高灰分多孔炭工艺流程：</w:t>
            </w:r>
          </w:p>
          <w:p>
            <w:pPr>
              <w:widowControl/>
              <w:adjustRightInd w:val="0"/>
              <w:snapToGrid w:val="0"/>
              <w:spacing w:line="360" w:lineRule="auto"/>
              <w:ind w:firstLine="480" w:firstLineChars="200"/>
              <w:rPr>
                <w:rFonts w:ascii="Times New Roman" w:hAnsi="Times New Roman" w:eastAsia="宋体" w:cs="Times New Roman"/>
                <w:bCs/>
                <w:color w:val="000000"/>
                <w:kern w:val="0"/>
                <w:sz w:val="24"/>
                <w:szCs w:val="24"/>
              </w:rPr>
            </w:pPr>
            <w:r>
              <w:rPr>
                <w:rFonts w:hint="eastAsia" w:ascii="Times New Roman" w:hAnsi="Times New Roman" w:eastAsia="宋体" w:cs="Times New Roman"/>
                <w:bCs/>
                <w:color w:val="000000"/>
                <w:kern w:val="0"/>
                <w:sz w:val="24"/>
                <w:szCs w:val="24"/>
              </w:rPr>
              <w:t>1、上料打浆：原料气化渣来自于各个园区企业，由汽车运输至厂区，卸入全封闭原料库。原料气化渣入厂时含水率较高，在原料库内堆存过程中会产生的少量渗滤液，渗滤液自流入原料库西侧的配料池内。原料气化渣为煤化工产物，带有少量氨气异味，氨气易溶于水，因此原料在库内存放过程中采取洒水增湿。气化渣原料呈泥状，入库后用铲车推至卸料坑，加水稀释，由给料机和输料皮带送入配料池，浆料由液料泵加压，经管道送入生产车间的螺旋绞龙分离机。</w:t>
            </w:r>
          </w:p>
          <w:p>
            <w:pPr>
              <w:widowControl/>
              <w:adjustRightInd w:val="0"/>
              <w:snapToGrid w:val="0"/>
              <w:spacing w:line="360" w:lineRule="auto"/>
              <w:ind w:firstLine="480" w:firstLineChars="200"/>
              <w:rPr>
                <w:rFonts w:ascii="Times New Roman" w:hAnsi="Times New Roman" w:eastAsia="宋体" w:cs="Times New Roman"/>
                <w:bCs/>
                <w:color w:val="000000"/>
                <w:kern w:val="0"/>
                <w:sz w:val="24"/>
                <w:szCs w:val="24"/>
              </w:rPr>
            </w:pPr>
            <w:r>
              <w:rPr>
                <w:rFonts w:hint="eastAsia" w:ascii="Times New Roman" w:hAnsi="Times New Roman" w:eastAsia="宋体" w:cs="Times New Roman"/>
                <w:bCs/>
                <w:color w:val="000000"/>
                <w:kern w:val="0"/>
                <w:sz w:val="24"/>
                <w:szCs w:val="24"/>
              </w:rPr>
              <w:t>2、一次分离：落到螺旋槽面上的矿粒，在纵向主流和横向环流的综合作用下，由于密度、粒度、形状等的不同，而产生了沿螺旋槽纵向和横向运动速度的差异，向槽底沉降的早，晚和快、慢也不一样，因而产生了矿粒按密度和粒度的分层现象。分层是分选过程的第一阶段，在螺旋槽的第一圈后即基本完成。分层以后，轻矿粒（炭、泥等）在上层，受速度较大的纵向主流和方向超外缘为横向环流作用，沿扩展螺旋线逐步流向槽外缘；而处于下层的重矿粒（硅砂等）受纵向主流的作用较小，在重力和方向朝内缘的横向环流推动下，逐渐沿着收敛的螺旋线移向内缘。这样就使已分层的矿粒又产生了分带。分带是分选过程的第二个阶段，一般需经过3～5圈才能完成。</w:t>
            </w:r>
          </w:p>
          <w:p>
            <w:pPr>
              <w:widowControl/>
              <w:adjustRightInd w:val="0"/>
              <w:snapToGrid w:val="0"/>
              <w:spacing w:line="360" w:lineRule="auto"/>
              <w:ind w:firstLine="480" w:firstLineChars="200"/>
              <w:rPr>
                <w:rFonts w:ascii="Times New Roman" w:hAnsi="Times New Roman" w:eastAsia="宋体" w:cs="Times New Roman"/>
                <w:bCs/>
                <w:color w:val="000000"/>
                <w:kern w:val="0"/>
                <w:sz w:val="24"/>
                <w:szCs w:val="24"/>
              </w:rPr>
            </w:pPr>
            <w:r>
              <w:rPr>
                <w:rFonts w:hint="eastAsia" w:ascii="Times New Roman" w:hAnsi="Times New Roman" w:eastAsia="宋体" w:cs="Times New Roman"/>
                <w:bCs/>
                <w:color w:val="000000"/>
                <w:kern w:val="0"/>
                <w:sz w:val="24"/>
                <w:szCs w:val="24"/>
              </w:rPr>
              <w:t>3、硅砂脱水、分粒：经过以上两个阶段后，重矿粒（硅砂等）从气化渣原料中分离出来，由截矿槽和接矿斗把硅砂送入振动筛脱水、筛分。150目以内的硅砂用于交通商砼、建筑等；150目以外的硅砂用于</w:t>
            </w:r>
            <w:r>
              <w:rPr>
                <w:rFonts w:hint="eastAsia" w:ascii="Times New Roman" w:hAnsi="Times New Roman" w:eastAsia="宋体" w:cs="Times New Roman"/>
                <w:bCs/>
                <w:color w:val="FF0000"/>
                <w:kern w:val="0"/>
                <w:sz w:val="24"/>
                <w:szCs w:val="24"/>
              </w:rPr>
              <w:t>制砖</w:t>
            </w:r>
            <w:r>
              <w:rPr>
                <w:rFonts w:hint="eastAsia" w:ascii="Times New Roman" w:hAnsi="Times New Roman" w:eastAsia="宋体" w:cs="Times New Roman"/>
                <w:bCs/>
                <w:color w:val="000000"/>
                <w:kern w:val="0"/>
                <w:sz w:val="24"/>
                <w:szCs w:val="24"/>
              </w:rPr>
              <w:t>、建筑、建材。振动筛设置在产品库，分选后不同粒径的硅砂由铲车推入相应堆存区域存放。振动筛脱除水分经管道送入循环水池沉淀后回用。循环水池底泥半年清理一次，抽出后送入细泥浓缩池。</w:t>
            </w:r>
          </w:p>
          <w:p>
            <w:pPr>
              <w:widowControl/>
              <w:adjustRightInd w:val="0"/>
              <w:snapToGrid w:val="0"/>
              <w:spacing w:line="360" w:lineRule="auto"/>
              <w:ind w:firstLine="480" w:firstLineChars="200"/>
              <w:rPr>
                <w:rFonts w:ascii="Times New Roman" w:hAnsi="Times New Roman" w:eastAsia="宋体" w:cs="Times New Roman"/>
                <w:bCs/>
                <w:color w:val="000000"/>
                <w:kern w:val="0"/>
                <w:sz w:val="24"/>
                <w:szCs w:val="24"/>
              </w:rPr>
            </w:pPr>
            <w:r>
              <w:rPr>
                <w:rFonts w:hint="eastAsia" w:ascii="Times New Roman" w:hAnsi="Times New Roman" w:eastAsia="宋体" w:cs="Times New Roman"/>
                <w:bCs/>
                <w:color w:val="000000"/>
                <w:kern w:val="0"/>
                <w:sz w:val="24"/>
                <w:szCs w:val="24"/>
              </w:rPr>
              <w:t>4、二次分离：分离硅砂后的气化渣浆料由截矿槽口落入螺旋绞笼下方的炭、泥混合上升循环池。池内液料经管道送入旋流分离器进行第二次分离，将细泥砂与含炭高的多孔炭分离。</w:t>
            </w:r>
          </w:p>
          <w:p>
            <w:pPr>
              <w:widowControl/>
              <w:adjustRightInd w:val="0"/>
              <w:snapToGrid w:val="0"/>
              <w:spacing w:line="360" w:lineRule="auto"/>
              <w:ind w:firstLine="480" w:firstLineChars="200"/>
              <w:rPr>
                <w:rFonts w:ascii="Times New Roman" w:hAnsi="Times New Roman" w:eastAsia="宋体" w:cs="Times New Roman"/>
                <w:bCs/>
                <w:color w:val="000000"/>
                <w:kern w:val="0"/>
                <w:sz w:val="24"/>
                <w:szCs w:val="24"/>
              </w:rPr>
            </w:pPr>
            <w:r>
              <w:rPr>
                <w:rFonts w:hint="eastAsia" w:ascii="Times New Roman" w:hAnsi="Times New Roman" w:eastAsia="宋体" w:cs="Times New Roman"/>
                <w:bCs/>
                <w:color w:val="000000"/>
                <w:kern w:val="0"/>
                <w:sz w:val="24"/>
                <w:szCs w:val="24"/>
              </w:rPr>
              <w:t>旋流分离器是一种利用离心沉降的原理进行多相分离的机械设备。矿浆在压力作用下经给矿管沿柱体切线方向进入壳体，在壳内做回转运动，矿浆中的密度大的泥砂颗粒因受到较大的离心力而进入回转流的外围，并同时随矿浆流向下流动，最终由底部沉砂嘴排出成细泥砂；密度小的多孔炭所受离心力较小，处于回转流中心并随液流向上运动，由溢流管排出。</w:t>
            </w:r>
          </w:p>
          <w:p>
            <w:pPr>
              <w:widowControl/>
              <w:adjustRightInd w:val="0"/>
              <w:snapToGrid w:val="0"/>
              <w:spacing w:line="360" w:lineRule="auto"/>
              <w:ind w:firstLine="480" w:firstLineChars="200"/>
              <w:rPr>
                <w:rFonts w:ascii="Times New Roman" w:hAnsi="Times New Roman" w:eastAsia="宋体" w:cs="Times New Roman"/>
                <w:bCs/>
                <w:color w:val="000000"/>
                <w:kern w:val="0"/>
                <w:sz w:val="24"/>
                <w:szCs w:val="24"/>
              </w:rPr>
            </w:pPr>
            <w:r>
              <w:rPr>
                <w:rFonts w:hint="eastAsia" w:ascii="Times New Roman" w:hAnsi="Times New Roman" w:eastAsia="宋体" w:cs="Times New Roman"/>
                <w:bCs/>
                <w:color w:val="000000"/>
                <w:kern w:val="0"/>
                <w:sz w:val="24"/>
                <w:szCs w:val="24"/>
              </w:rPr>
              <w:t>5、细泥砂脱水、分粒：旋流分离器底部排出的细泥砂经管道送入振动筛（280目）脱水，筛上细砂为硅砂产品，由皮带送入产品库房，与螺旋绞笼分离后的硅砂产品一起外售；振动筛下脱除的水经管道送入细泥浓缩池，经浓缩后由管道送入压滤机，压滤机设置在成品库内，压滤后的细泥砂从压滤机排料口排出，直接由铲车推至细泥料堆储存。压滤机滤液由管道送入循环水池回用。</w:t>
            </w:r>
          </w:p>
          <w:p>
            <w:pPr>
              <w:widowControl/>
              <w:adjustRightInd w:val="0"/>
              <w:snapToGrid w:val="0"/>
              <w:spacing w:line="360" w:lineRule="auto"/>
              <w:ind w:firstLine="480" w:firstLineChars="200"/>
              <w:rPr>
                <w:rFonts w:ascii="Times New Roman" w:hAnsi="Times New Roman" w:eastAsia="宋体" w:cs="Times New Roman"/>
                <w:bCs/>
                <w:color w:val="000000"/>
                <w:kern w:val="0"/>
                <w:sz w:val="24"/>
                <w:szCs w:val="24"/>
              </w:rPr>
            </w:pPr>
            <w:r>
              <w:rPr>
                <w:rFonts w:hint="eastAsia" w:ascii="Times New Roman" w:hAnsi="Times New Roman" w:eastAsia="宋体" w:cs="Times New Roman"/>
                <w:bCs/>
                <w:color w:val="000000"/>
                <w:kern w:val="0"/>
                <w:sz w:val="24"/>
                <w:szCs w:val="24"/>
              </w:rPr>
              <w:t>6、多孔炭脱水、分粒：旋流分离器溢流口得到的多孔炭产品经振动筛（280目）脱水分级，筛上物为</w:t>
            </w:r>
            <w:r>
              <w:rPr>
                <w:rFonts w:hint="eastAsia" w:ascii="Times New Roman" w:hAnsi="Times New Roman" w:eastAsia="宋体" w:cs="Times New Roman"/>
                <w:bCs/>
                <w:color w:val="FF0000"/>
                <w:kern w:val="0"/>
                <w:sz w:val="24"/>
                <w:szCs w:val="24"/>
              </w:rPr>
              <w:t>低灰分</w:t>
            </w:r>
            <w:r>
              <w:rPr>
                <w:rFonts w:hint="eastAsia" w:ascii="Times New Roman" w:hAnsi="Times New Roman" w:eastAsia="宋体" w:cs="Times New Roman"/>
                <w:bCs/>
                <w:color w:val="000000"/>
                <w:kern w:val="0"/>
                <w:sz w:val="24"/>
                <w:szCs w:val="24"/>
              </w:rPr>
              <w:t>多孔炭，筛下浆料为高灰分多孔炭以及携带的少量泥砂和水。</w:t>
            </w:r>
          </w:p>
          <w:p>
            <w:pPr>
              <w:widowControl/>
              <w:adjustRightInd w:val="0"/>
              <w:snapToGrid w:val="0"/>
              <w:spacing w:line="360" w:lineRule="auto"/>
              <w:ind w:firstLine="480" w:firstLineChars="200"/>
              <w:rPr>
                <w:rFonts w:ascii="Times New Roman" w:hAnsi="Times New Roman" w:eastAsia="宋体" w:cs="Times New Roman"/>
                <w:bCs/>
                <w:color w:val="000000"/>
                <w:kern w:val="0"/>
                <w:sz w:val="24"/>
                <w:szCs w:val="24"/>
              </w:rPr>
            </w:pPr>
            <w:r>
              <w:rPr>
                <w:rFonts w:hint="eastAsia" w:ascii="Times New Roman" w:hAnsi="Times New Roman" w:eastAsia="宋体" w:cs="Times New Roman"/>
                <w:bCs/>
                <w:color w:val="000000"/>
                <w:kern w:val="0"/>
                <w:sz w:val="24"/>
                <w:szCs w:val="24"/>
              </w:rPr>
              <w:t>筛上物</w:t>
            </w:r>
            <w:bookmarkStart w:id="90" w:name="OLE_LINK121"/>
            <w:bookmarkStart w:id="91" w:name="OLE_LINK120"/>
            <w:r>
              <w:rPr>
                <w:rFonts w:hint="eastAsia" w:ascii="Times New Roman" w:hAnsi="Times New Roman" w:eastAsia="宋体" w:cs="Times New Roman"/>
                <w:bCs/>
                <w:color w:val="000000"/>
                <w:kern w:val="0"/>
                <w:sz w:val="24"/>
                <w:szCs w:val="24"/>
              </w:rPr>
              <w:t>低灰分多孔炭</w:t>
            </w:r>
            <w:bookmarkEnd w:id="90"/>
            <w:bookmarkEnd w:id="91"/>
            <w:r>
              <w:rPr>
                <w:rFonts w:hint="eastAsia" w:ascii="Times New Roman" w:hAnsi="Times New Roman" w:eastAsia="宋体" w:cs="Times New Roman"/>
                <w:bCs/>
                <w:color w:val="000000"/>
                <w:kern w:val="0"/>
                <w:sz w:val="24"/>
                <w:szCs w:val="24"/>
              </w:rPr>
              <w:t>，经水稀释后，用液料泵打入低灰分多孔炭浓缩池，经浓缩后由管道送入压滤机，压滤机设置在成品库内，压滤后得到产品低灰分多孔炭从压滤机排料口排出，直接由铲车推至相应料堆储存。压滤机滤液由管道送入循环水池回用。</w:t>
            </w:r>
          </w:p>
          <w:p>
            <w:pPr>
              <w:widowControl/>
              <w:adjustRightInd w:val="0"/>
              <w:snapToGrid w:val="0"/>
              <w:spacing w:line="360" w:lineRule="auto"/>
              <w:ind w:firstLine="480" w:firstLineChars="200"/>
              <w:rPr>
                <w:rFonts w:ascii="Times New Roman" w:hAnsi="Times New Roman" w:eastAsia="宋体" w:cs="Times New Roman"/>
                <w:bCs/>
                <w:color w:val="000000"/>
                <w:kern w:val="0"/>
                <w:sz w:val="24"/>
                <w:szCs w:val="24"/>
              </w:rPr>
            </w:pPr>
            <w:r>
              <w:rPr>
                <w:rFonts w:hint="eastAsia" w:ascii="Times New Roman" w:hAnsi="Times New Roman" w:eastAsia="宋体" w:cs="Times New Roman"/>
                <w:bCs/>
                <w:color w:val="000000"/>
                <w:kern w:val="0"/>
                <w:sz w:val="24"/>
                <w:szCs w:val="24"/>
              </w:rPr>
              <w:t>筛下物为</w:t>
            </w:r>
            <w:bookmarkStart w:id="92" w:name="OLE_LINK123"/>
            <w:bookmarkStart w:id="93" w:name="OLE_LINK122"/>
            <w:r>
              <w:rPr>
                <w:rFonts w:hint="eastAsia" w:ascii="Times New Roman" w:hAnsi="Times New Roman" w:eastAsia="宋体" w:cs="Times New Roman"/>
                <w:bCs/>
                <w:color w:val="000000"/>
                <w:kern w:val="0"/>
                <w:sz w:val="24"/>
                <w:szCs w:val="24"/>
              </w:rPr>
              <w:t>高灰分多孔炭</w:t>
            </w:r>
            <w:bookmarkEnd w:id="92"/>
            <w:bookmarkEnd w:id="93"/>
            <w:r>
              <w:rPr>
                <w:rFonts w:hint="eastAsia" w:ascii="Times New Roman" w:hAnsi="Times New Roman" w:eastAsia="宋体" w:cs="Times New Roman"/>
                <w:bCs/>
                <w:color w:val="000000"/>
                <w:kern w:val="0"/>
                <w:sz w:val="24"/>
                <w:szCs w:val="24"/>
              </w:rPr>
              <w:t>和水以及少量细泥，排入筛分机下方液料池，经管道打入旋流分离器再次分离泥砂。螺旋分离器上部溢流口排出的高灰分多孔炭经管道送入高灰分多孔炭浓缩池，经浓缩后由管道送入成品库的压滤机，压滤后得到产品高灰分多孔炭从压滤机排料口排出，直接由铲车推至相应料堆储存。压滤机滤液由管道送入循环水池回用。螺旋分离器底部排出的泥砂打入细泥浓缩池，经浓缩压滤后得到细泥，送入相应堆存。压滤机滤液由管道送入循环水池回用。细泥送园区渣场填埋。</w:t>
            </w:r>
          </w:p>
          <w:p>
            <w:pPr>
              <w:widowControl/>
              <w:adjustRightInd w:val="0"/>
              <w:snapToGrid w:val="0"/>
              <w:spacing w:line="360" w:lineRule="auto"/>
              <w:ind w:firstLine="480" w:firstLineChars="200"/>
              <w:rPr>
                <w:rFonts w:ascii="Times New Roman" w:hAnsi="Times New Roman" w:eastAsia="宋体" w:cs="Times New Roman"/>
                <w:bCs/>
                <w:color w:val="000000"/>
                <w:kern w:val="0"/>
                <w:sz w:val="24"/>
                <w:szCs w:val="24"/>
              </w:rPr>
            </w:pPr>
            <w:r>
              <w:rPr>
                <w:rFonts w:hint="eastAsia" w:ascii="Times New Roman" w:hAnsi="Times New Roman" w:eastAsia="宋体" w:cs="Times New Roman"/>
                <w:bCs/>
                <w:color w:val="000000"/>
                <w:kern w:val="0"/>
                <w:sz w:val="24"/>
                <w:szCs w:val="24"/>
              </w:rPr>
              <w:t>7、成品贮存：成品库为全封闭库房，内部设分区，分别存放产品和细泥等废渣，每个分区设挡墙分隔。各产品压滤机均设置在成品库内北侧，压滤后的产品由铲车送至各自堆存区储存。硅砂振动筛也设置在成品库内。细泥堆存区位于成品库西侧，细泥压滤机也设置在成品库内。工艺流程图如下：</w:t>
            </w:r>
          </w:p>
          <w:p>
            <w:pPr>
              <w:widowControl/>
              <w:adjustRightInd w:val="0"/>
              <w:snapToGrid w:val="0"/>
              <w:spacing w:line="360" w:lineRule="auto"/>
              <w:rPr>
                <w:rFonts w:ascii="Times New Roman" w:hAnsi="Times New Roman" w:eastAsia="宋体" w:cs="Times New Roman"/>
                <w:bCs/>
                <w:color w:val="000000"/>
                <w:kern w:val="0"/>
                <w:sz w:val="24"/>
                <w:szCs w:val="24"/>
              </w:rPr>
            </w:pPr>
            <w:r>
              <w:rPr>
                <w:rFonts w:hint="eastAsia"/>
              </w:rPr>
              <w:object>
                <v:shape id="_x0000_i1025" o:spt="75" type="#_x0000_t75" style="height:379.35pt;width:388.3pt;" o:ole="t" filled="f" o:preferrelative="t" stroked="f" coordsize="21600,21600">
                  <v:path/>
                  <v:fill on="f" focussize="0,0"/>
                  <v:stroke on="f" joinstyle="miter"/>
                  <v:imagedata r:id="rId12" o:title=""/>
                  <o:lock v:ext="edit" aspectratio="t"/>
                  <w10:wrap type="none"/>
                  <w10:anchorlock/>
                </v:shape>
                <o:OLEObject Type="Embed" ProgID="Visio.Drawing.15" ShapeID="_x0000_i1025" DrawAspect="Content" ObjectID="_1468075725" r:id="rId11">
                  <o:LockedField>false</o:LockedField>
                </o:OLEObject>
              </w:object>
            </w:r>
          </w:p>
          <w:p>
            <w:pPr>
              <w:pStyle w:val="111"/>
              <w:ind w:firstLine="480"/>
            </w:pPr>
            <w:r>
              <w:rPr>
                <w:rFonts w:hint="eastAsia"/>
              </w:rPr>
              <w:t>②烘干工艺流程：</w:t>
            </w:r>
          </w:p>
          <w:p>
            <w:pPr>
              <w:pStyle w:val="55"/>
              <w:ind w:firstLine="480"/>
              <w:rPr>
                <w:sz w:val="24"/>
              </w:rPr>
            </w:pPr>
            <w:r>
              <w:rPr>
                <w:rFonts w:hint="eastAsia"/>
                <w:sz w:val="24"/>
              </w:rPr>
              <w:t>（</w:t>
            </w:r>
            <w:r>
              <w:rPr>
                <w:sz w:val="24"/>
              </w:rPr>
              <w:t>1</w:t>
            </w:r>
            <w:r>
              <w:rPr>
                <w:rFonts w:hint="eastAsia"/>
                <w:sz w:val="24"/>
              </w:rPr>
              <w:t>）原料储存</w:t>
            </w:r>
          </w:p>
          <w:p>
            <w:pPr>
              <w:pStyle w:val="55"/>
              <w:ind w:firstLine="480"/>
              <w:rPr>
                <w:sz w:val="24"/>
              </w:rPr>
            </w:pPr>
            <w:r>
              <w:rPr>
                <w:rFonts w:hint="eastAsia"/>
                <w:sz w:val="24"/>
              </w:rPr>
              <w:t>本项目为现有工程配套的烘干产品项目，原料为现有工程两种灰分多孔炭产品，均储存于现有成品库内。</w:t>
            </w:r>
          </w:p>
          <w:p>
            <w:pPr>
              <w:pStyle w:val="55"/>
              <w:ind w:firstLine="480"/>
              <w:rPr>
                <w:sz w:val="24"/>
              </w:rPr>
            </w:pPr>
            <w:r>
              <w:rPr>
                <w:rFonts w:hint="eastAsia"/>
                <w:sz w:val="24"/>
              </w:rPr>
              <w:t>（</w:t>
            </w:r>
            <w:r>
              <w:rPr>
                <w:sz w:val="24"/>
              </w:rPr>
              <w:t>2</w:t>
            </w:r>
            <w:r>
              <w:rPr>
                <w:rFonts w:hint="eastAsia"/>
                <w:sz w:val="24"/>
              </w:rPr>
              <w:t>）上料、计量输送</w:t>
            </w:r>
          </w:p>
          <w:p>
            <w:pPr>
              <w:pStyle w:val="55"/>
              <w:ind w:firstLine="480"/>
              <w:rPr>
                <w:sz w:val="24"/>
              </w:rPr>
            </w:pPr>
            <w:r>
              <w:rPr>
                <w:rFonts w:hint="eastAsia"/>
                <w:sz w:val="24"/>
              </w:rPr>
              <w:t>本项目设备均布置于南侧全封闭车间内。用装载机将现有成品库内经压滤后的多孔炭（含水率约50%）运输至南侧全封闭车间内烘干区并送入料斗，物料自料斗下方喂料器靠重力作用落至定量给料机，经定量给料机计量后再由输送皮带输送至下一工序。</w:t>
            </w:r>
          </w:p>
          <w:p>
            <w:pPr>
              <w:pStyle w:val="55"/>
              <w:ind w:firstLine="480"/>
              <w:rPr>
                <w:sz w:val="24"/>
              </w:rPr>
            </w:pPr>
            <w:r>
              <w:rPr>
                <w:rFonts w:hint="eastAsia"/>
                <w:sz w:val="24"/>
              </w:rPr>
              <w:t>（</w:t>
            </w:r>
            <w:r>
              <w:rPr>
                <w:sz w:val="24"/>
              </w:rPr>
              <w:t>3</w:t>
            </w:r>
            <w:r>
              <w:rPr>
                <w:rFonts w:hint="eastAsia"/>
                <w:sz w:val="24"/>
              </w:rPr>
              <w:t>）投料、烘干</w:t>
            </w:r>
          </w:p>
          <w:p>
            <w:pPr>
              <w:pStyle w:val="55"/>
              <w:ind w:firstLine="480"/>
              <w:rPr>
                <w:sz w:val="24"/>
              </w:rPr>
            </w:pPr>
            <w:r>
              <w:rPr>
                <w:rFonts w:hint="eastAsia"/>
                <w:sz w:val="24"/>
              </w:rPr>
              <w:t>本项目设置1套复合式烘干脱水设备（4台烘干机，其中2台滚筒烘干机、2台振动烘干机，均配套生物质燃烧器），其中每台滚筒烘干机配套1台振动烘干机进行串联式使用组成一个系列，共2个系列，分别处理低灰分多孔炭及高灰分多孔炭，工艺、参数等完全相同。</w:t>
            </w:r>
          </w:p>
          <w:p>
            <w:pPr>
              <w:pStyle w:val="55"/>
              <w:ind w:firstLine="480"/>
              <w:rPr>
                <w:sz w:val="24"/>
              </w:rPr>
            </w:pPr>
            <w:r>
              <w:rPr>
                <w:rFonts w:hint="eastAsia"/>
                <w:sz w:val="24"/>
              </w:rPr>
              <w:t>物料经输送皮带按设定好的速度自滚筒式烘干机机头直接投入到烘干机中。为避免高温烟气与被烘干物料直接接触而产生大量粉尘污染，本项目滚筒式烘干机为内外双层筒设计，外筒内径约1.8m，内筒内径为0.65m，内筒为过火通道，内筒及外筒之间为物料装填区，燃烧机产生的高温烟气由进火口进入过火通道并通过热传导方式对其外侧的物料进行加热烘干。滚筒式烘干机设置约15°的坡度，于低位处送入高温烟气、排出烘干后的物料，高位处排出烟气、送入湿物料，实现逆流式烘干。烟气通过烟道进入“旋风除尘器+袋式除尘器”处理。烘干机工作过程中处于旋转状态，内部设置扬料板，可加强物料与高温烟气的接触。经滚筒式烘干机烘干后的物料（含水率约30%）通过皮带输送机送入振动式烘干机进一步进行烘干。</w:t>
            </w:r>
          </w:p>
          <w:p>
            <w:pPr>
              <w:pStyle w:val="55"/>
              <w:ind w:firstLine="480"/>
              <w:rPr>
                <w:sz w:val="24"/>
              </w:rPr>
            </w:pPr>
            <w:r>
              <w:rPr>
                <w:rFonts w:hint="eastAsia"/>
                <w:sz w:val="24"/>
              </w:rPr>
              <w:t>振动式烘干机为密闭式，上下两层设计，长24m，宽0.5m，上层为溜煤槽，下层为过火通道，该设计可使得高温烟气与物料不直接接触，燃烧机产生的高温烟气进入过火通道内并利用通道内的高温将上面钢板烤热，通过热传递将溜煤槽里的物料烘干。烘干机设置约15°的坡度，于低位处送入高温烟气、排出烘干后的物料（含水率约30%），高位处排出烟气、送入湿物料，实现逆流式烘干。烘干机设置振动电机，通过振动使物料从高位慢慢向低位移动。</w:t>
            </w:r>
          </w:p>
          <w:p>
            <w:pPr>
              <w:pStyle w:val="55"/>
              <w:ind w:firstLine="480"/>
              <w:rPr>
                <w:sz w:val="24"/>
              </w:rPr>
            </w:pPr>
            <w:r>
              <w:rPr>
                <w:rFonts w:hint="eastAsia"/>
                <w:sz w:val="24"/>
              </w:rPr>
              <w:t>项目每台烘干机配备一台燃烧机（即4台烘干机配套4台燃烧机），通过燃烧生物质颗粒燃料提供烘干所需的热量，燃烧机产生的烟气进入烘干机过火通道后与物料间接接触进行烘干。项目对两个系列（每个系列为1台滚筒烘干机、1台振动烘干机）的燃烧烟气均设置密闭烟道采用“旋风除尘器+袋式除尘器”（2套）处理，对烘干后物料出口上方设置集气罩（每台烘干机设置1个集气罩，共4个集气罩）对烘干废气进行收集，配套“旋风除尘器+袋式除尘器”（2套），上述燃烧烟气及烘干废气共同由1根24m高排气筒（DA001）排放。</w:t>
            </w:r>
          </w:p>
          <w:p>
            <w:pPr>
              <w:pStyle w:val="55"/>
              <w:ind w:firstLine="480"/>
              <w:rPr>
                <w:sz w:val="24"/>
              </w:rPr>
            </w:pPr>
            <w:r>
              <w:rPr>
                <w:rFonts w:hint="eastAsia"/>
                <w:sz w:val="24"/>
              </w:rPr>
              <w:t>（4）物料输出</w:t>
            </w:r>
          </w:p>
          <w:p>
            <w:pPr>
              <w:pStyle w:val="55"/>
              <w:ind w:firstLine="480"/>
              <w:rPr>
                <w:sz w:val="24"/>
              </w:rPr>
            </w:pPr>
            <w:r>
              <w:rPr>
                <w:rFonts w:hint="eastAsia"/>
                <w:sz w:val="24"/>
              </w:rPr>
              <w:t>烘干后的物料自烘干机由全封闭输送皮带送至成品贮存区内分区堆存或装入吨包内。工艺流程图如下:</w:t>
            </w:r>
          </w:p>
          <w:p>
            <w:pPr>
              <w:pStyle w:val="111"/>
              <w:ind w:firstLine="480"/>
            </w:pPr>
            <w:r>
              <w:rPr>
                <w:rFonts w:hint="eastAsia"/>
              </w:rPr>
              <w:object>
                <v:shape id="_x0000_i1026" o:spt="75" type="#_x0000_t75" style="height:318pt;width:387.7pt;" o:ole="t" filled="f" o:preferrelative="t" stroked="f" coordsize="21600,21600">
                  <v:path/>
                  <v:fill on="f" focussize="0,0"/>
                  <v:stroke on="f" joinstyle="miter"/>
                  <v:imagedata r:id="rId14" o:title=""/>
                  <o:lock v:ext="edit" aspectratio="t"/>
                  <w10:wrap type="none"/>
                  <w10:anchorlock/>
                </v:shape>
                <o:OLEObject Type="Embed" ProgID="Visio.Drawing.11" ShapeID="_x0000_i1026" DrawAspect="Content" ObjectID="_1468075726" r:id="rId13">
                  <o:LockedField>false</o:LockedField>
                </o:OLEObject>
              </w:object>
            </w:r>
          </w:p>
          <w:p>
            <w:pPr>
              <w:pStyle w:val="111"/>
              <w:ind w:firstLine="0" w:firstLineChars="0"/>
              <w:rPr>
                <w:b/>
                <w:bCs/>
              </w:rPr>
            </w:pPr>
            <w:r>
              <w:rPr>
                <w:rFonts w:hint="eastAsia"/>
                <w:b/>
                <w:bCs/>
              </w:rPr>
              <w:t>4.2、技改工程概况</w:t>
            </w:r>
          </w:p>
          <w:p>
            <w:pPr>
              <w:pStyle w:val="82"/>
              <w:rPr>
                <w:rFonts w:hint="default" w:ascii="Times New Roman" w:hAnsi="Times New Roman" w:cs="Times New Roman"/>
              </w:rPr>
            </w:pPr>
            <w:r>
              <w:rPr>
                <w:rFonts w:hint="default" w:ascii="Times New Roman" w:hAnsi="Times New Roman" w:cs="Times New Roman"/>
              </w:rPr>
              <w:t>本公司</w:t>
            </w:r>
            <w:bookmarkStart w:id="94" w:name="_Hlk212641530"/>
            <w:bookmarkStart w:id="95" w:name="OLE_LINK295"/>
            <w:r>
              <w:rPr>
                <w:rFonts w:hint="default" w:ascii="Times New Roman" w:hAnsi="Times New Roman" w:cs="Times New Roman"/>
              </w:rPr>
              <w:t>拟在</w:t>
            </w:r>
            <w:r>
              <w:rPr>
                <w:rFonts w:ascii="Times New Roman" w:hAnsi="Times New Roman" w:cs="Times New Roman"/>
              </w:rPr>
              <w:t>现有烘干生产线</w:t>
            </w:r>
            <w:r>
              <w:rPr>
                <w:rFonts w:hint="default" w:ascii="Times New Roman" w:hAnsi="Times New Roman" w:cs="Times New Roman"/>
              </w:rPr>
              <w:t>成品</w:t>
            </w:r>
            <w:r>
              <w:rPr>
                <w:rFonts w:ascii="Times New Roman" w:hAnsi="Times New Roman" w:cs="Times New Roman"/>
              </w:rPr>
              <w:t>存放区</w:t>
            </w:r>
            <w:r>
              <w:rPr>
                <w:rFonts w:hint="default" w:ascii="Times New Roman" w:hAnsi="Times New Roman" w:cs="Times New Roman"/>
              </w:rPr>
              <w:t>里新增</w:t>
            </w:r>
            <w:bookmarkStart w:id="96" w:name="OLE_LINK212"/>
            <w:bookmarkStart w:id="97" w:name="OLE_LINK213"/>
            <w:r>
              <w:rPr>
                <w:rFonts w:hint="default" w:ascii="Times New Roman" w:hAnsi="Times New Roman" w:cs="Times New Roman"/>
              </w:rPr>
              <w:t>1套</w:t>
            </w:r>
            <w:bookmarkStart w:id="98" w:name="OLE_LINK204"/>
            <w:bookmarkStart w:id="99" w:name="OLE_LINK205"/>
            <w:bookmarkStart w:id="100" w:name="OLE_LINK145"/>
            <w:r>
              <w:rPr>
                <w:rFonts w:hint="default" w:ascii="Times New Roman" w:hAnsi="Times New Roman" w:cs="Times New Roman"/>
              </w:rPr>
              <w:t>金属梯级回收</w:t>
            </w:r>
            <w:bookmarkEnd w:id="98"/>
            <w:bookmarkEnd w:id="99"/>
            <w:r>
              <w:rPr>
                <w:rFonts w:hint="default" w:ascii="Times New Roman" w:hAnsi="Times New Roman" w:cs="Times New Roman"/>
              </w:rPr>
              <w:t>设备</w:t>
            </w:r>
            <w:bookmarkEnd w:id="100"/>
            <w:r>
              <w:rPr>
                <w:rFonts w:hint="default" w:ascii="Times New Roman" w:hAnsi="Times New Roman" w:cs="Times New Roman"/>
              </w:rPr>
              <w:t>，</w:t>
            </w:r>
            <w:bookmarkStart w:id="101" w:name="OLE_LINK214"/>
            <w:r>
              <w:rPr>
                <w:rFonts w:hint="default" w:ascii="Times New Roman" w:hAnsi="Times New Roman" w:cs="Times New Roman"/>
              </w:rPr>
              <w:t>采用多种物理脱离工艺对原有脱碳后的废气化渣里的</w:t>
            </w:r>
            <w:bookmarkStart w:id="102" w:name="OLE_LINK139"/>
            <w:bookmarkStart w:id="103" w:name="_Hlk209624574"/>
            <w:bookmarkStart w:id="104" w:name="OLE_LINK95"/>
            <w:r>
              <w:rPr>
                <w:rFonts w:hint="default" w:ascii="Times New Roman" w:hAnsi="Times New Roman" w:cs="Times New Roman"/>
              </w:rPr>
              <w:t>铁粉、钙镁产品、含硅金属富集矿</w:t>
            </w:r>
            <w:bookmarkEnd w:id="102"/>
            <w:bookmarkEnd w:id="103"/>
            <w:bookmarkEnd w:id="104"/>
            <w:r>
              <w:rPr>
                <w:rFonts w:hint="default" w:ascii="Times New Roman" w:hAnsi="Times New Roman" w:cs="Times New Roman"/>
              </w:rPr>
              <w:t>进行梯级回收</w:t>
            </w:r>
            <w:bookmarkEnd w:id="96"/>
            <w:bookmarkEnd w:id="97"/>
            <w:bookmarkEnd w:id="101"/>
            <w:r>
              <w:rPr>
                <w:rFonts w:hint="default" w:ascii="Times New Roman" w:hAnsi="Times New Roman" w:cs="Times New Roman"/>
              </w:rPr>
              <w:t>。</w:t>
            </w:r>
            <w:bookmarkEnd w:id="94"/>
            <w:bookmarkEnd w:id="95"/>
          </w:p>
          <w:p>
            <w:pPr>
              <w:pStyle w:val="89"/>
              <w:rPr>
                <w:rFonts w:hint="default" w:ascii="Times New Roman" w:hAnsi="Times New Roman" w:cs="Times New Roman"/>
                <w:color w:val="auto"/>
                <w:sz w:val="21"/>
              </w:rPr>
            </w:pPr>
            <w:r>
              <w:rPr>
                <w:rFonts w:hint="default" w:ascii="Times New Roman" w:hAnsi="Times New Roman" w:cs="Times New Roman"/>
                <w:color w:val="auto"/>
                <w:sz w:val="21"/>
              </w:rPr>
              <w:t>表2-7  项目组成一览表</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24"/>
              <w:gridCol w:w="1355"/>
              <w:gridCol w:w="5224"/>
              <w:gridCol w:w="10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 w:hRule="atLeast"/>
              </w:trPr>
              <w:tc>
                <w:tcPr>
                  <w:tcW w:w="594" w:type="pct"/>
                  <w:tcBorders>
                    <w:top w:val="single" w:color="auto" w:sz="4" w:space="0"/>
                    <w:left w:val="single" w:color="auto" w:sz="4" w:space="0"/>
                    <w:bottom w:val="single" w:color="auto" w:sz="4" w:space="0"/>
                    <w:right w:val="single" w:color="auto" w:sz="4" w:space="0"/>
                  </w:tcBorders>
                  <w:vAlign w:val="center"/>
                </w:tcPr>
                <w:p>
                  <w:pPr>
                    <w:pStyle w:val="89"/>
                    <w:rPr>
                      <w:rFonts w:hint="default" w:ascii="Times New Roman" w:hAnsi="Times New Roman" w:cs="Times New Roman"/>
                      <w:color w:val="000000" w:themeColor="text1"/>
                      <w:sz w:val="21"/>
                      <w14:textFill>
                        <w14:solidFill>
                          <w14:schemeClr w14:val="tx1"/>
                        </w14:solidFill>
                      </w14:textFill>
                    </w:rPr>
                  </w:pPr>
                  <w:bookmarkStart w:id="105" w:name="OLE_LINK136"/>
                  <w:bookmarkStart w:id="106" w:name="OLE_LINK1"/>
                  <w:bookmarkStart w:id="107" w:name="OLE_LINK2"/>
                  <w:bookmarkStart w:id="108" w:name="OLE_LINK141"/>
                  <w:bookmarkStart w:id="109" w:name="OLE_LINK9"/>
                  <w:bookmarkStart w:id="110" w:name="OLE_LINK264"/>
                  <w:r>
                    <w:rPr>
                      <w:rFonts w:hint="default" w:ascii="Times New Roman" w:hAnsi="Times New Roman" w:cs="Times New Roman"/>
                      <w:color w:val="000000" w:themeColor="text1"/>
                      <w14:textFill>
                        <w14:solidFill>
                          <w14:schemeClr w14:val="tx1"/>
                        </w14:solidFill>
                      </w14:textFill>
                    </w:rPr>
                    <w:t>类别</w:t>
                  </w:r>
                </w:p>
              </w:tc>
              <w:tc>
                <w:tcPr>
                  <w:tcW w:w="786" w:type="pct"/>
                  <w:tcBorders>
                    <w:top w:val="single" w:color="auto" w:sz="4" w:space="0"/>
                    <w:left w:val="single" w:color="auto" w:sz="4" w:space="0"/>
                    <w:bottom w:val="single" w:color="auto" w:sz="4" w:space="0"/>
                    <w:right w:val="single" w:color="auto" w:sz="4" w:space="0"/>
                  </w:tcBorders>
                  <w:vAlign w:val="center"/>
                </w:tcPr>
                <w:p>
                  <w:pPr>
                    <w:pStyle w:val="89"/>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工程名称</w:t>
                  </w:r>
                </w:p>
              </w:tc>
              <w:tc>
                <w:tcPr>
                  <w:tcW w:w="3030" w:type="pct"/>
                  <w:tcBorders>
                    <w:top w:val="single" w:color="auto" w:sz="4" w:space="0"/>
                    <w:left w:val="single" w:color="auto" w:sz="4" w:space="0"/>
                    <w:bottom w:val="single" w:color="auto" w:sz="4" w:space="0"/>
                    <w:right w:val="single" w:color="auto" w:sz="4" w:space="0"/>
                  </w:tcBorders>
                  <w:vAlign w:val="center"/>
                </w:tcPr>
                <w:p>
                  <w:pPr>
                    <w:pStyle w:val="89"/>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建设内容及规模</w:t>
                  </w:r>
                </w:p>
              </w:tc>
              <w:tc>
                <w:tcPr>
                  <w:tcW w:w="590" w:type="pct"/>
                  <w:tcBorders>
                    <w:top w:val="single" w:color="auto" w:sz="4" w:space="0"/>
                    <w:left w:val="single" w:color="auto" w:sz="4" w:space="0"/>
                    <w:bottom w:val="single" w:color="auto" w:sz="4" w:space="0"/>
                    <w:right w:val="single" w:color="auto" w:sz="4" w:space="0"/>
                  </w:tcBorders>
                  <w:vAlign w:val="center"/>
                </w:tcPr>
                <w:p>
                  <w:pPr>
                    <w:pStyle w:val="89"/>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1" w:hRule="atLeast"/>
              </w:trPr>
              <w:tc>
                <w:tcPr>
                  <w:tcW w:w="594" w:type="pct"/>
                  <w:tcBorders>
                    <w:top w:val="nil"/>
                    <w:left w:val="single" w:color="auto" w:sz="4" w:space="0"/>
                    <w:bottom w:val="single" w:color="auto" w:sz="4" w:space="0"/>
                    <w:right w:val="single" w:color="auto" w:sz="4" w:space="0"/>
                  </w:tcBorders>
                  <w:vAlign w:val="center"/>
                </w:tcPr>
                <w:p>
                  <w:pPr>
                    <w:pStyle w:val="89"/>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主体</w:t>
                  </w:r>
                </w:p>
                <w:p>
                  <w:pPr>
                    <w:pStyle w:val="89"/>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工程</w:t>
                  </w:r>
                </w:p>
              </w:tc>
              <w:tc>
                <w:tcPr>
                  <w:tcW w:w="786" w:type="pct"/>
                  <w:tcBorders>
                    <w:top w:val="single" w:color="auto" w:sz="4" w:space="0"/>
                    <w:left w:val="single" w:color="auto" w:sz="4" w:space="0"/>
                    <w:bottom w:val="single" w:color="auto" w:sz="4" w:space="0"/>
                    <w:right w:val="single" w:color="auto" w:sz="4" w:space="0"/>
                  </w:tcBorders>
                  <w:vAlign w:val="center"/>
                </w:tcPr>
                <w:p>
                  <w:pPr>
                    <w:pStyle w:val="84"/>
                    <w:rPr>
                      <w:color w:val="000000" w:themeColor="text1"/>
                      <w14:textFill>
                        <w14:solidFill>
                          <w14:schemeClr w14:val="tx1"/>
                        </w14:solidFill>
                      </w14:textFill>
                    </w:rPr>
                  </w:pPr>
                  <w:r>
                    <w:rPr>
                      <w:rFonts w:hint="eastAsia"/>
                      <w:color w:val="000000" w:themeColor="text1"/>
                      <w14:textFill>
                        <w14:solidFill>
                          <w14:schemeClr w14:val="tx1"/>
                        </w14:solidFill>
                      </w14:textFill>
                    </w:rPr>
                    <w:t>金属梯级回收系统</w:t>
                  </w:r>
                </w:p>
              </w:tc>
              <w:tc>
                <w:tcPr>
                  <w:tcW w:w="3030" w:type="pct"/>
                  <w:tcBorders>
                    <w:top w:val="single" w:color="auto" w:sz="4" w:space="0"/>
                    <w:left w:val="single" w:color="auto" w:sz="4" w:space="0"/>
                    <w:bottom w:val="single" w:color="auto" w:sz="4" w:space="0"/>
                    <w:right w:val="single" w:color="auto" w:sz="4" w:space="0"/>
                  </w:tcBorders>
                  <w:vAlign w:val="center"/>
                </w:tcPr>
                <w:p>
                  <w:pPr>
                    <w:pStyle w:val="84"/>
                    <w:jc w:val="both"/>
                    <w:rPr>
                      <w:color w:val="000000" w:themeColor="text1"/>
                      <w14:textFill>
                        <w14:solidFill>
                          <w14:schemeClr w14:val="tx1"/>
                        </w14:solidFill>
                      </w14:textFill>
                    </w:rPr>
                  </w:pPr>
                  <w:bookmarkStart w:id="111" w:name="OLE_LINK138"/>
                  <w:r>
                    <w:rPr>
                      <w:rFonts w:hint="eastAsia"/>
                    </w:rPr>
                    <w:t>依托</w:t>
                  </w:r>
                  <w:bookmarkStart w:id="112" w:name="OLE_LINK147"/>
                  <w:bookmarkStart w:id="113" w:name="OLE_LINK146"/>
                  <w:r>
                    <w:rPr>
                      <w:rFonts w:hint="eastAsia"/>
                    </w:rPr>
                    <w:t>厂区南</w:t>
                  </w:r>
                  <w:bookmarkEnd w:id="112"/>
                  <w:bookmarkEnd w:id="113"/>
                  <w:r>
                    <w:rPr>
                      <w:rFonts w:hint="eastAsia"/>
                    </w:rPr>
                    <w:t>侧占地约4240m</w:t>
                  </w:r>
                  <w:r>
                    <w:rPr>
                      <w:rFonts w:hint="eastAsia"/>
                      <w:vertAlign w:val="superscript"/>
                    </w:rPr>
                    <w:t>2</w:t>
                  </w:r>
                  <w:r>
                    <w:rPr>
                      <w:rFonts w:hint="eastAsia"/>
                    </w:rPr>
                    <w:t>全封闭车间</w:t>
                  </w:r>
                  <w:bookmarkEnd w:id="111"/>
                  <w:r>
                    <w:rPr>
                      <w:rFonts w:hint="eastAsia"/>
                    </w:rPr>
                    <w:t>，在此新增一套</w:t>
                  </w:r>
                  <w:r>
                    <w:t>金属梯级回收设备</w:t>
                  </w:r>
                  <w:r>
                    <w:rPr>
                      <w:rFonts w:hint="eastAsia"/>
                    </w:rPr>
                    <w:t>，采用多种物理脱离工艺对原有脱碳后的废气化渣里的</w:t>
                  </w:r>
                  <w:bookmarkStart w:id="114" w:name="OLE_LINK67"/>
                  <w:bookmarkStart w:id="115" w:name="OLE_LINK85"/>
                  <w:r>
                    <w:rPr>
                      <w:rFonts w:hint="eastAsia"/>
                    </w:rPr>
                    <w:t>铁粉、钙镁产品、含硅金属富集矿进行梯级回收</w:t>
                  </w:r>
                  <w:bookmarkEnd w:id="114"/>
                  <w:bookmarkEnd w:id="115"/>
                  <w:r>
                    <w:rPr>
                      <w:rFonts w:hint="eastAsia"/>
                    </w:rPr>
                    <w:t>，</w:t>
                  </w:r>
                  <w:r>
                    <w:rPr>
                      <w:color w:val="000000" w:themeColor="text1"/>
                      <w14:textFill>
                        <w14:solidFill>
                          <w14:schemeClr w14:val="tx1"/>
                        </w14:solidFill>
                      </w14:textFill>
                    </w:rPr>
                    <w:t>各</w:t>
                  </w:r>
                  <w:r>
                    <w:rPr>
                      <w:rFonts w:hint="eastAsia"/>
                      <w:color w:val="000000" w:themeColor="text1"/>
                      <w14:textFill>
                        <w14:solidFill>
                          <w14:schemeClr w14:val="tx1"/>
                        </w14:solidFill>
                      </w14:textFill>
                    </w:rPr>
                    <w:t>产品</w:t>
                  </w:r>
                  <w:r>
                    <w:rPr>
                      <w:color w:val="000000" w:themeColor="text1"/>
                      <w14:textFill>
                        <w14:solidFill>
                          <w14:schemeClr w14:val="tx1"/>
                        </w14:solidFill>
                      </w14:textFill>
                    </w:rPr>
                    <w:t>分区堆放</w:t>
                  </w:r>
                  <w:r>
                    <w:rPr>
                      <w:rFonts w:hint="eastAsia"/>
                    </w:rPr>
                    <w:t>暂存至此。</w:t>
                  </w:r>
                </w:p>
              </w:tc>
              <w:tc>
                <w:tcPr>
                  <w:tcW w:w="590" w:type="pct"/>
                  <w:tcBorders>
                    <w:top w:val="single" w:color="auto" w:sz="4" w:space="0"/>
                    <w:left w:val="single" w:color="auto" w:sz="4" w:space="0"/>
                    <w:bottom w:val="single" w:color="auto" w:sz="4" w:space="0"/>
                    <w:right w:val="single" w:color="auto" w:sz="4" w:space="0"/>
                  </w:tcBorders>
                  <w:vAlign w:val="center"/>
                </w:tcPr>
                <w:p>
                  <w:pPr>
                    <w:pStyle w:val="84"/>
                    <w:rPr>
                      <w:color w:val="000000" w:themeColor="text1"/>
                      <w14:textFill>
                        <w14:solidFill>
                          <w14:schemeClr w14:val="tx1"/>
                        </w14:solidFill>
                      </w14:textFill>
                    </w:rPr>
                  </w:pPr>
                  <w:r>
                    <w:rPr>
                      <w:rFonts w:hint="eastAsia"/>
                      <w:color w:val="000000" w:themeColor="text1"/>
                      <w14:textFill>
                        <w14:solidFill>
                          <w14:schemeClr w14:val="tx1"/>
                        </w14:solidFill>
                      </w14:textFill>
                    </w:rPr>
                    <w:t>库房依托，设备新建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1" w:hRule="atLeast"/>
              </w:trPr>
              <w:tc>
                <w:tcPr>
                  <w:tcW w:w="594" w:type="pct"/>
                  <w:tcBorders>
                    <w:top w:val="nil"/>
                    <w:left w:val="single" w:color="auto" w:sz="4" w:space="0"/>
                    <w:right w:val="single" w:color="auto" w:sz="4" w:space="0"/>
                  </w:tcBorders>
                  <w:vAlign w:val="center"/>
                </w:tcPr>
                <w:p>
                  <w:pPr>
                    <w:pStyle w:val="89"/>
                    <w:rPr>
                      <w:rFonts w:hint="default" w:ascii="Times New Roman" w:hAnsi="Times New Roman" w:cs="Times New Roman"/>
                      <w:color w:val="000000" w:themeColor="text1"/>
                      <w14:textFill>
                        <w14:solidFill>
                          <w14:schemeClr w14:val="tx1"/>
                        </w14:solidFill>
                      </w14:textFill>
                    </w:rPr>
                  </w:pPr>
                  <w:bookmarkStart w:id="116" w:name="OLE_LINK157"/>
                  <w:bookmarkStart w:id="117" w:name="_Hlk209520372"/>
                  <w:r>
                    <w:rPr>
                      <w:rFonts w:hint="default" w:ascii="Times New Roman" w:hAnsi="Times New Roman" w:cs="Times New Roman"/>
                      <w:color w:val="000000" w:themeColor="text1"/>
                      <w14:textFill>
                        <w14:solidFill>
                          <w14:schemeClr w14:val="tx1"/>
                        </w14:solidFill>
                      </w14:textFill>
                    </w:rPr>
                    <w:t>储运工程</w:t>
                  </w:r>
                  <w:bookmarkEnd w:id="116"/>
                </w:p>
              </w:tc>
              <w:tc>
                <w:tcPr>
                  <w:tcW w:w="786" w:type="pct"/>
                  <w:tcBorders>
                    <w:top w:val="single" w:color="auto" w:sz="4" w:space="0"/>
                    <w:left w:val="single" w:color="auto" w:sz="4" w:space="0"/>
                    <w:bottom w:val="single" w:color="auto" w:sz="4" w:space="0"/>
                    <w:right w:val="single" w:color="auto" w:sz="4" w:space="0"/>
                  </w:tcBorders>
                  <w:vAlign w:val="center"/>
                </w:tcPr>
                <w:p>
                  <w:pPr>
                    <w:pStyle w:val="84"/>
                    <w:rPr>
                      <w:color w:val="000000" w:themeColor="text1"/>
                      <w14:textFill>
                        <w14:solidFill>
                          <w14:schemeClr w14:val="tx1"/>
                        </w14:solidFill>
                      </w14:textFill>
                    </w:rPr>
                  </w:pPr>
                  <w:r>
                    <w:rPr>
                      <w:rFonts w:hint="eastAsia"/>
                      <w:color w:val="000000" w:themeColor="text1"/>
                      <w14:textFill>
                        <w14:solidFill>
                          <w14:schemeClr w14:val="tx1"/>
                        </w14:solidFill>
                      </w14:textFill>
                    </w:rPr>
                    <w:t>现有成品库</w:t>
                  </w:r>
                </w:p>
              </w:tc>
              <w:tc>
                <w:tcPr>
                  <w:tcW w:w="3030" w:type="pct"/>
                  <w:tcBorders>
                    <w:top w:val="single" w:color="auto" w:sz="4" w:space="0"/>
                    <w:left w:val="single" w:color="auto" w:sz="4" w:space="0"/>
                    <w:bottom w:val="single" w:color="auto" w:sz="4" w:space="0"/>
                    <w:right w:val="single" w:color="auto" w:sz="4" w:space="0"/>
                  </w:tcBorders>
                  <w:vAlign w:val="center"/>
                </w:tcPr>
                <w:p>
                  <w:pPr>
                    <w:pStyle w:val="84"/>
                    <w:jc w:val="both"/>
                    <w:rPr>
                      <w:color w:val="000000" w:themeColor="text1"/>
                      <w14:textFill>
                        <w14:solidFill>
                          <w14:schemeClr w14:val="tx1"/>
                        </w14:solidFill>
                      </w14:textFill>
                    </w:rPr>
                  </w:pPr>
                  <w:r>
                    <w:rPr>
                      <w:color w:val="000000" w:themeColor="text1"/>
                      <w14:textFill>
                        <w14:solidFill>
                          <w14:schemeClr w14:val="tx1"/>
                        </w14:solidFill>
                      </w14:textFill>
                    </w:rPr>
                    <w:t>占地面积3710m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，高8.65m，全封闭结构，用于贮存</w:t>
                  </w:r>
                  <w:r>
                    <w:rPr>
                      <w:rFonts w:hint="eastAsia"/>
                      <w:color w:val="000000" w:themeColor="text1"/>
                      <w14:textFill>
                        <w14:solidFill>
                          <w14:schemeClr w14:val="tx1"/>
                        </w14:solidFill>
                      </w14:textFill>
                    </w:rPr>
                    <w:t>脱碳后的</w:t>
                  </w:r>
                  <w:r>
                    <w:rPr>
                      <w:color w:val="000000" w:themeColor="text1"/>
                      <w14:textFill>
                        <w14:solidFill>
                          <w14:schemeClr w14:val="tx1"/>
                        </w14:solidFill>
                      </w14:textFill>
                    </w:rPr>
                    <w:t>细砂</w:t>
                  </w:r>
                  <w:r>
                    <w:rPr>
                      <w:rFonts w:hint="eastAsia"/>
                      <w:color w:val="000000" w:themeColor="text1"/>
                      <w14:textFill>
                        <w14:solidFill>
                          <w14:schemeClr w14:val="tx1"/>
                        </w14:solidFill>
                      </w14:textFill>
                    </w:rPr>
                    <w:t>和</w:t>
                  </w:r>
                  <w:r>
                    <w:rPr>
                      <w:color w:val="000000" w:themeColor="text1"/>
                      <w14:textFill>
                        <w14:solidFill>
                          <w14:schemeClr w14:val="tx1"/>
                        </w14:solidFill>
                      </w14:textFill>
                    </w:rPr>
                    <w:t>固废细泥，</w:t>
                  </w:r>
                  <w:bookmarkStart w:id="118" w:name="OLE_LINK64"/>
                  <w:bookmarkStart w:id="119" w:name="OLE_LINK63"/>
                  <w:r>
                    <w:rPr>
                      <w:color w:val="000000" w:themeColor="text1"/>
                      <w14:textFill>
                        <w14:solidFill>
                          <w14:schemeClr w14:val="tx1"/>
                        </w14:solidFill>
                      </w14:textFill>
                    </w:rPr>
                    <w:t>各物料分区堆放贮存</w:t>
                  </w:r>
                  <w:bookmarkEnd w:id="118"/>
                  <w:bookmarkEnd w:id="119"/>
                  <w:r>
                    <w:rPr>
                      <w:color w:val="000000" w:themeColor="text1"/>
                      <w14:textFill>
                        <w14:solidFill>
                          <w14:schemeClr w14:val="tx1"/>
                        </w14:solidFill>
                      </w14:textFill>
                    </w:rPr>
                    <w:t>，设挡墙分隔。</w:t>
                  </w:r>
                </w:p>
              </w:tc>
              <w:tc>
                <w:tcPr>
                  <w:tcW w:w="590" w:type="pct"/>
                  <w:tcBorders>
                    <w:top w:val="single" w:color="auto" w:sz="4" w:space="0"/>
                    <w:left w:val="single" w:color="auto" w:sz="4" w:space="0"/>
                    <w:bottom w:val="single" w:color="auto" w:sz="4" w:space="0"/>
                    <w:right w:val="single" w:color="auto" w:sz="4" w:space="0"/>
                  </w:tcBorders>
                  <w:vAlign w:val="center"/>
                </w:tcPr>
                <w:p>
                  <w:pPr>
                    <w:pStyle w:val="84"/>
                    <w:rPr>
                      <w:color w:val="000000" w:themeColor="text1"/>
                      <w14:textFill>
                        <w14:solidFill>
                          <w14:schemeClr w14:val="tx1"/>
                        </w14:solidFill>
                      </w14:textFill>
                    </w:rPr>
                  </w:pPr>
                  <w:r>
                    <w:rPr>
                      <w:color w:val="000000" w:themeColor="text1"/>
                      <w14:textFill>
                        <w14:solidFill>
                          <w14:schemeClr w14:val="tx1"/>
                        </w14:solidFill>
                      </w14:textFill>
                    </w:rPr>
                    <w:t>依托</w:t>
                  </w:r>
                </w:p>
              </w:tc>
            </w:tr>
            <w:bookmarkEnd w:id="117"/>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594" w:type="pct"/>
                  <w:vMerge w:val="restart"/>
                  <w:tcBorders>
                    <w:top w:val="nil"/>
                    <w:left w:val="single" w:color="auto" w:sz="4" w:space="0"/>
                    <w:bottom w:val="single" w:color="auto" w:sz="4" w:space="0"/>
                    <w:right w:val="single" w:color="auto" w:sz="4" w:space="0"/>
                  </w:tcBorders>
                  <w:vAlign w:val="center"/>
                </w:tcPr>
                <w:p>
                  <w:pPr>
                    <w:pStyle w:val="89"/>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公用</w:t>
                  </w:r>
                </w:p>
                <w:p>
                  <w:pPr>
                    <w:pStyle w:val="89"/>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工程</w:t>
                  </w:r>
                </w:p>
              </w:tc>
              <w:tc>
                <w:tcPr>
                  <w:tcW w:w="786" w:type="pct"/>
                  <w:tcBorders>
                    <w:top w:val="single" w:color="auto" w:sz="4" w:space="0"/>
                    <w:left w:val="single" w:color="auto" w:sz="4" w:space="0"/>
                    <w:bottom w:val="single" w:color="auto" w:sz="4" w:space="0"/>
                    <w:right w:val="single" w:color="auto" w:sz="4" w:space="0"/>
                  </w:tcBorders>
                  <w:vAlign w:val="center"/>
                </w:tcPr>
                <w:p>
                  <w:pPr>
                    <w:pStyle w:val="84"/>
                    <w:rPr>
                      <w:color w:val="000000" w:themeColor="text1"/>
                      <w14:textFill>
                        <w14:solidFill>
                          <w14:schemeClr w14:val="tx1"/>
                        </w14:solidFill>
                      </w14:textFill>
                    </w:rPr>
                  </w:pPr>
                  <w:r>
                    <w:rPr>
                      <w:color w:val="000000" w:themeColor="text1"/>
                      <w14:textFill>
                        <w14:solidFill>
                          <w14:schemeClr w14:val="tx1"/>
                        </w14:solidFill>
                      </w14:textFill>
                    </w:rPr>
                    <w:t>供电</w:t>
                  </w:r>
                </w:p>
              </w:tc>
              <w:tc>
                <w:tcPr>
                  <w:tcW w:w="3030" w:type="pct"/>
                  <w:tcBorders>
                    <w:top w:val="single" w:color="auto" w:sz="4" w:space="0"/>
                    <w:left w:val="single" w:color="auto" w:sz="4" w:space="0"/>
                    <w:bottom w:val="single" w:color="auto" w:sz="4" w:space="0"/>
                    <w:right w:val="single" w:color="auto" w:sz="4" w:space="0"/>
                  </w:tcBorders>
                  <w:vAlign w:val="center"/>
                </w:tcPr>
                <w:p>
                  <w:pPr>
                    <w:pStyle w:val="84"/>
                    <w:jc w:val="left"/>
                    <w:rPr>
                      <w:color w:val="000000" w:themeColor="text1"/>
                      <w14:textFill>
                        <w14:solidFill>
                          <w14:schemeClr w14:val="tx1"/>
                        </w14:solidFill>
                      </w14:textFill>
                    </w:rPr>
                  </w:pPr>
                  <w:r>
                    <w:rPr>
                      <w:rFonts w:hint="eastAsia"/>
                      <w:highlight w:val="yellow"/>
                    </w:rPr>
                    <w:t>依托园区电网及厂区现有变电设施供给</w:t>
                  </w:r>
                  <w:r>
                    <w:rPr>
                      <w:color w:val="000000" w:themeColor="text1"/>
                      <w:highlight w:val="yellow"/>
                      <w14:textFill>
                        <w14:solidFill>
                          <w14:schemeClr w14:val="tx1"/>
                        </w14:solidFill>
                      </w14:textFill>
                    </w:rPr>
                    <w:t>。</w:t>
                  </w:r>
                </w:p>
              </w:tc>
              <w:tc>
                <w:tcPr>
                  <w:tcW w:w="590" w:type="pct"/>
                  <w:tcBorders>
                    <w:top w:val="single" w:color="auto" w:sz="4" w:space="0"/>
                    <w:left w:val="single" w:color="auto" w:sz="4" w:space="0"/>
                    <w:bottom w:val="single" w:color="auto" w:sz="4" w:space="0"/>
                    <w:right w:val="single" w:color="auto" w:sz="4" w:space="0"/>
                  </w:tcBorders>
                  <w:vAlign w:val="center"/>
                </w:tcPr>
                <w:p>
                  <w:pPr>
                    <w:pStyle w:val="84"/>
                    <w:rPr>
                      <w:color w:val="000000" w:themeColor="text1"/>
                      <w14:textFill>
                        <w14:solidFill>
                          <w14:schemeClr w14:val="tx1"/>
                        </w14:solidFill>
                      </w14:textFill>
                    </w:rPr>
                  </w:pPr>
                  <w:bookmarkStart w:id="120" w:name="OLE_LINK161"/>
                  <w:bookmarkStart w:id="121" w:name="OLE_LINK162"/>
                  <w:r>
                    <w:rPr>
                      <w:color w:val="000000" w:themeColor="text1"/>
                      <w14:textFill>
                        <w14:solidFill>
                          <w14:schemeClr w14:val="tx1"/>
                        </w14:solidFill>
                      </w14:textFill>
                    </w:rPr>
                    <w:t>依托</w:t>
                  </w:r>
                  <w:bookmarkEnd w:id="120"/>
                  <w:bookmarkEnd w:id="121"/>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594" w:type="pct"/>
                  <w:vMerge w:val="continue"/>
                  <w:tcBorders>
                    <w:top w:val="nil"/>
                    <w:left w:val="single" w:color="auto" w:sz="4" w:space="0"/>
                    <w:bottom w:val="single" w:color="auto" w:sz="4" w:space="0"/>
                    <w:right w:val="single" w:color="auto" w:sz="4" w:space="0"/>
                  </w:tcBorders>
                  <w:vAlign w:val="center"/>
                </w:tcPr>
                <w:p>
                  <w:pPr>
                    <w:pStyle w:val="89"/>
                    <w:rPr>
                      <w:rFonts w:hint="default" w:ascii="Times New Roman" w:hAnsi="Times New Roman" w:cs="Times New Roman"/>
                      <w:color w:val="000000" w:themeColor="text1"/>
                      <w14:textFill>
                        <w14:solidFill>
                          <w14:schemeClr w14:val="tx1"/>
                        </w14:solidFill>
                      </w14:textFill>
                    </w:rPr>
                  </w:pPr>
                </w:p>
              </w:tc>
              <w:tc>
                <w:tcPr>
                  <w:tcW w:w="786" w:type="pct"/>
                  <w:tcBorders>
                    <w:top w:val="single" w:color="auto" w:sz="4" w:space="0"/>
                    <w:left w:val="single" w:color="auto" w:sz="4" w:space="0"/>
                    <w:bottom w:val="single" w:color="auto" w:sz="4" w:space="0"/>
                    <w:right w:val="single" w:color="auto" w:sz="4" w:space="0"/>
                  </w:tcBorders>
                  <w:vAlign w:val="center"/>
                </w:tcPr>
                <w:p>
                  <w:pPr>
                    <w:pStyle w:val="84"/>
                    <w:rPr>
                      <w:color w:val="000000" w:themeColor="text1"/>
                      <w14:textFill>
                        <w14:solidFill>
                          <w14:schemeClr w14:val="tx1"/>
                        </w14:solidFill>
                      </w14:textFill>
                    </w:rPr>
                  </w:pPr>
                  <w:r>
                    <w:rPr>
                      <w:color w:val="000000" w:themeColor="text1"/>
                      <w14:textFill>
                        <w14:solidFill>
                          <w14:schemeClr w14:val="tx1"/>
                        </w14:solidFill>
                      </w14:textFill>
                    </w:rPr>
                    <w:t>供</w:t>
                  </w:r>
                  <w:r>
                    <w:rPr>
                      <w:rFonts w:hint="eastAsia"/>
                      <w:color w:val="000000" w:themeColor="text1"/>
                      <w14:textFill>
                        <w14:solidFill>
                          <w14:schemeClr w14:val="tx1"/>
                        </w14:solidFill>
                      </w14:textFill>
                    </w:rPr>
                    <w:t>排</w:t>
                  </w:r>
                  <w:r>
                    <w:rPr>
                      <w:color w:val="000000" w:themeColor="text1"/>
                      <w14:textFill>
                        <w14:solidFill>
                          <w14:schemeClr w14:val="tx1"/>
                        </w14:solidFill>
                      </w14:textFill>
                    </w:rPr>
                    <w:t>水</w:t>
                  </w:r>
                </w:p>
              </w:tc>
              <w:tc>
                <w:tcPr>
                  <w:tcW w:w="3030" w:type="pct"/>
                  <w:tcBorders>
                    <w:top w:val="single" w:color="auto" w:sz="4" w:space="0"/>
                    <w:left w:val="single" w:color="auto" w:sz="4" w:space="0"/>
                    <w:bottom w:val="single" w:color="auto" w:sz="4" w:space="0"/>
                    <w:right w:val="single" w:color="auto" w:sz="4" w:space="0"/>
                  </w:tcBorders>
                  <w:vAlign w:val="center"/>
                </w:tcPr>
                <w:p>
                  <w:pPr>
                    <w:pStyle w:val="84"/>
                    <w:jc w:val="left"/>
                    <w:rPr>
                      <w:color w:val="000000" w:themeColor="text1"/>
                      <w14:textFill>
                        <w14:solidFill>
                          <w14:schemeClr w14:val="tx1"/>
                        </w14:solidFill>
                      </w14:textFill>
                    </w:rPr>
                  </w:pPr>
                  <w:bookmarkStart w:id="122" w:name="OLE_LINK168"/>
                  <w:bookmarkStart w:id="123" w:name="OLE_LINK167"/>
                  <w:bookmarkStart w:id="124" w:name="OLE_LINK165"/>
                  <w:bookmarkStart w:id="125" w:name="OLE_LINK166"/>
                  <w:bookmarkStart w:id="126" w:name="OLE_LINK144"/>
                  <w:bookmarkStart w:id="127" w:name="OLE_LINK118"/>
                  <w:r>
                    <w:rPr>
                      <w:rFonts w:hint="eastAsia"/>
                    </w:rPr>
                    <w:t>本次技改项目</w:t>
                  </w:r>
                  <w:bookmarkStart w:id="128" w:name="OLE_LINK163"/>
                  <w:bookmarkStart w:id="129" w:name="OLE_LINK164"/>
                  <w:r>
                    <w:rPr>
                      <w:rFonts w:hint="eastAsia"/>
                    </w:rPr>
                    <w:t>无新增</w:t>
                  </w:r>
                  <w:r>
                    <w:t>劳动定员</w:t>
                  </w:r>
                  <w:r>
                    <w:rPr>
                      <w:rFonts w:hint="eastAsia"/>
                    </w:rPr>
                    <w:t>，由现有工作人员调配，因此项目</w:t>
                  </w:r>
                  <w:bookmarkEnd w:id="122"/>
                  <w:bookmarkEnd w:id="123"/>
                  <w:bookmarkEnd w:id="128"/>
                  <w:bookmarkEnd w:id="129"/>
                  <w:r>
                    <w:rPr>
                      <w:rFonts w:hint="eastAsia"/>
                      <w:highlight w:val="yellow"/>
                    </w:rPr>
                    <w:t>无新增生活用水</w:t>
                  </w:r>
                  <w:r>
                    <w:rPr>
                      <w:rFonts w:hint="eastAsia"/>
                    </w:rPr>
                    <w:t>。</w:t>
                  </w:r>
                  <w:bookmarkStart w:id="130" w:name="OLE_LINK190"/>
                  <w:bookmarkStart w:id="131" w:name="OLE_LINK171"/>
                  <w:bookmarkStart w:id="132" w:name="OLE_LINK170"/>
                  <w:r>
                    <w:rPr>
                      <w:bCs/>
                      <w:color w:val="000000" w:themeColor="text1"/>
                      <w14:textFill>
                        <w14:solidFill>
                          <w14:schemeClr w14:val="tx1"/>
                        </w14:solidFill>
                      </w14:textFill>
                    </w:rPr>
                    <w:t>生产用水</w:t>
                  </w:r>
                  <w:r>
                    <w:rPr>
                      <w:rFonts w:hint="eastAsia"/>
                      <w:bCs/>
                      <w:color w:val="000000" w:themeColor="text1"/>
                      <w14:textFill>
                        <w14:solidFill>
                          <w14:schemeClr w14:val="tx1"/>
                        </w14:solidFill>
                      </w14:textFill>
                    </w:rPr>
                    <w:t>由园区供应。</w:t>
                  </w:r>
                  <w:r>
                    <w:rPr>
                      <w:bCs/>
                      <w:color w:val="000000" w:themeColor="text1"/>
                      <w14:textFill>
                        <w14:solidFill>
                          <w14:schemeClr w14:val="tx1"/>
                        </w14:solidFill>
                      </w14:textFill>
                    </w:rPr>
                    <w:t>生产</w:t>
                  </w:r>
                  <w:r>
                    <w:rPr>
                      <w:rFonts w:hint="eastAsia"/>
                      <w:bCs/>
                      <w:color w:val="000000" w:themeColor="text1"/>
                      <w14:textFill>
                        <w14:solidFill>
                          <w14:schemeClr w14:val="tx1"/>
                        </w14:solidFill>
                      </w14:textFill>
                    </w:rPr>
                    <w:t>废</w:t>
                  </w:r>
                  <w:r>
                    <w:rPr>
                      <w:bCs/>
                      <w:color w:val="000000" w:themeColor="text1"/>
                      <w14:textFill>
                        <w14:solidFill>
                          <w14:schemeClr w14:val="tx1"/>
                        </w14:solidFill>
                      </w14:textFill>
                    </w:rPr>
                    <w:t>水循环使用，不外排</w:t>
                  </w:r>
                  <w:bookmarkEnd w:id="124"/>
                  <w:bookmarkEnd w:id="125"/>
                  <w:bookmarkEnd w:id="130"/>
                  <w:bookmarkEnd w:id="131"/>
                  <w:bookmarkEnd w:id="132"/>
                  <w:r>
                    <w:rPr>
                      <w:rFonts w:hint="eastAsia"/>
                      <w:bCs/>
                      <w:color w:val="000000" w:themeColor="text1"/>
                      <w14:textFill>
                        <w14:solidFill>
                          <w14:schemeClr w14:val="tx1"/>
                        </w14:solidFill>
                      </w14:textFill>
                    </w:rPr>
                    <w:t>。</w:t>
                  </w:r>
                  <w:r>
                    <w:rPr>
                      <w:color w:val="000000" w:themeColor="text1"/>
                      <w14:textFill>
                        <w14:solidFill>
                          <w14:schemeClr w14:val="tx1"/>
                        </w14:solidFill>
                      </w14:textFill>
                    </w:rPr>
                    <w:t xml:space="preserve"> </w:t>
                  </w:r>
                  <w:bookmarkEnd w:id="126"/>
                  <w:bookmarkEnd w:id="127"/>
                </w:p>
              </w:tc>
              <w:tc>
                <w:tcPr>
                  <w:tcW w:w="590" w:type="pct"/>
                  <w:tcBorders>
                    <w:top w:val="single" w:color="auto" w:sz="4" w:space="0"/>
                    <w:left w:val="single" w:color="auto" w:sz="4" w:space="0"/>
                    <w:bottom w:val="single" w:color="auto" w:sz="4" w:space="0"/>
                    <w:right w:val="single" w:color="auto" w:sz="4" w:space="0"/>
                  </w:tcBorders>
                  <w:vAlign w:val="center"/>
                </w:tcPr>
                <w:p>
                  <w:pPr>
                    <w:pStyle w:val="84"/>
                    <w:rPr>
                      <w:color w:val="000000" w:themeColor="text1"/>
                      <w14:textFill>
                        <w14:solidFill>
                          <w14:schemeClr w14:val="tx1"/>
                        </w14:solidFill>
                      </w14:textFill>
                    </w:rPr>
                  </w:pPr>
                  <w:r>
                    <w:rPr>
                      <w:rFonts w:hint="eastAsia"/>
                      <w:color w:val="000000" w:themeColor="text1"/>
                      <w14:textFill>
                        <w14:solidFill>
                          <w14:schemeClr w14:val="tx1"/>
                        </w14:solidFill>
                      </w14:textFill>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94" w:type="pct"/>
                  <w:vMerge w:val="continue"/>
                  <w:tcBorders>
                    <w:top w:val="nil"/>
                    <w:left w:val="single" w:color="auto" w:sz="4" w:space="0"/>
                    <w:bottom w:val="single" w:color="auto" w:sz="4" w:space="0"/>
                    <w:right w:val="single" w:color="auto" w:sz="4" w:space="0"/>
                  </w:tcBorders>
                  <w:vAlign w:val="center"/>
                </w:tcPr>
                <w:p>
                  <w:pPr>
                    <w:pStyle w:val="89"/>
                    <w:rPr>
                      <w:rFonts w:hint="default" w:ascii="Times New Roman" w:hAnsi="Times New Roman" w:cs="Times New Roman"/>
                      <w:color w:val="000000" w:themeColor="text1"/>
                      <w14:textFill>
                        <w14:solidFill>
                          <w14:schemeClr w14:val="tx1"/>
                        </w14:solidFill>
                      </w14:textFill>
                    </w:rPr>
                  </w:pPr>
                </w:p>
              </w:tc>
              <w:tc>
                <w:tcPr>
                  <w:tcW w:w="786" w:type="pct"/>
                  <w:tcBorders>
                    <w:top w:val="single" w:color="auto" w:sz="4" w:space="0"/>
                    <w:left w:val="single" w:color="auto" w:sz="4" w:space="0"/>
                    <w:bottom w:val="single" w:color="auto" w:sz="4" w:space="0"/>
                    <w:right w:val="single" w:color="auto" w:sz="4" w:space="0"/>
                  </w:tcBorders>
                  <w:vAlign w:val="center"/>
                </w:tcPr>
                <w:p>
                  <w:pPr>
                    <w:pStyle w:val="84"/>
                    <w:rPr>
                      <w:color w:val="000000" w:themeColor="text1"/>
                      <w14:textFill>
                        <w14:solidFill>
                          <w14:schemeClr w14:val="tx1"/>
                        </w14:solidFill>
                      </w14:textFill>
                    </w:rPr>
                  </w:pPr>
                  <w:r>
                    <w:rPr>
                      <w:color w:val="000000" w:themeColor="text1"/>
                      <w14:textFill>
                        <w14:solidFill>
                          <w14:schemeClr w14:val="tx1"/>
                        </w14:solidFill>
                      </w14:textFill>
                    </w:rPr>
                    <w:t>供热</w:t>
                  </w:r>
                </w:p>
              </w:tc>
              <w:tc>
                <w:tcPr>
                  <w:tcW w:w="3030" w:type="pct"/>
                  <w:tcBorders>
                    <w:top w:val="single" w:color="auto" w:sz="4" w:space="0"/>
                    <w:left w:val="single" w:color="auto" w:sz="4" w:space="0"/>
                    <w:bottom w:val="single" w:color="auto" w:sz="4" w:space="0"/>
                    <w:right w:val="single" w:color="auto" w:sz="4" w:space="0"/>
                  </w:tcBorders>
                  <w:vAlign w:val="center"/>
                </w:tcPr>
                <w:p>
                  <w:pPr>
                    <w:pStyle w:val="84"/>
                    <w:rPr>
                      <w:color w:val="000000" w:themeColor="text1"/>
                      <w14:textFill>
                        <w14:solidFill>
                          <w14:schemeClr w14:val="tx1"/>
                        </w14:solidFill>
                      </w14:textFill>
                    </w:rPr>
                  </w:pPr>
                  <w:r>
                    <w:rPr>
                      <w:bCs/>
                      <w:color w:val="000000" w:themeColor="text1"/>
                      <w:highlight w:val="yellow"/>
                      <w14:textFill>
                        <w14:solidFill>
                          <w14:schemeClr w14:val="tx1"/>
                        </w14:solidFill>
                      </w14:textFill>
                    </w:rPr>
                    <w:t>依托</w:t>
                  </w:r>
                  <w:r>
                    <w:rPr>
                      <w:rFonts w:hint="eastAsia"/>
                      <w:bCs/>
                      <w:color w:val="000000" w:themeColor="text1"/>
                      <w:highlight w:val="yellow"/>
                      <w14:textFill>
                        <w14:solidFill>
                          <w14:schemeClr w14:val="tx1"/>
                        </w14:solidFill>
                      </w14:textFill>
                    </w:rPr>
                    <w:t>厂区现有</w:t>
                  </w:r>
                  <w:r>
                    <w:rPr>
                      <w:bCs/>
                      <w:color w:val="000000" w:themeColor="text1"/>
                      <w:highlight w:val="yellow"/>
                      <w14:textFill>
                        <w14:solidFill>
                          <w14:schemeClr w14:val="tx1"/>
                        </w14:solidFill>
                      </w14:textFill>
                    </w:rPr>
                    <w:t>供暖</w:t>
                  </w:r>
                  <w:r>
                    <w:rPr>
                      <w:rFonts w:hint="eastAsia"/>
                      <w:bCs/>
                      <w:color w:val="000000" w:themeColor="text1"/>
                      <w:highlight w:val="yellow"/>
                      <w14:textFill>
                        <w14:solidFill>
                          <w14:schemeClr w14:val="tx1"/>
                        </w14:solidFill>
                      </w14:textFill>
                    </w:rPr>
                    <w:t>措施</w:t>
                  </w:r>
                  <w:r>
                    <w:rPr>
                      <w:bCs/>
                      <w:color w:val="000000" w:themeColor="text1"/>
                      <w:highlight w:val="yellow"/>
                      <w14:textFill>
                        <w14:solidFill>
                          <w14:schemeClr w14:val="tx1"/>
                        </w14:solidFill>
                      </w14:textFill>
                    </w:rPr>
                    <w:t>。</w:t>
                  </w:r>
                </w:p>
              </w:tc>
              <w:tc>
                <w:tcPr>
                  <w:tcW w:w="590" w:type="pct"/>
                  <w:tcBorders>
                    <w:top w:val="nil"/>
                    <w:left w:val="single" w:color="auto" w:sz="4" w:space="0"/>
                    <w:bottom w:val="single" w:color="auto" w:sz="4" w:space="0"/>
                    <w:right w:val="single" w:color="auto" w:sz="4" w:space="0"/>
                  </w:tcBorders>
                  <w:vAlign w:val="center"/>
                </w:tcPr>
                <w:p>
                  <w:pPr>
                    <w:pStyle w:val="84"/>
                    <w:rPr>
                      <w:color w:val="000000" w:themeColor="text1"/>
                      <w14:textFill>
                        <w14:solidFill>
                          <w14:schemeClr w14:val="tx1"/>
                        </w14:solidFill>
                      </w14:textFill>
                    </w:rPr>
                  </w:pPr>
                  <w:r>
                    <w:rPr>
                      <w:color w:val="000000" w:themeColor="text1"/>
                      <w14:textFill>
                        <w14:solidFill>
                          <w14:schemeClr w14:val="tx1"/>
                        </w14:solidFill>
                      </w14:textFill>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trPr>
              <w:tc>
                <w:tcPr>
                  <w:tcW w:w="594" w:type="pct"/>
                  <w:vMerge w:val="restart"/>
                  <w:tcBorders>
                    <w:top w:val="nil"/>
                    <w:left w:val="single" w:color="auto" w:sz="4" w:space="0"/>
                    <w:right w:val="single" w:color="auto" w:sz="4" w:space="0"/>
                  </w:tcBorders>
                  <w:vAlign w:val="center"/>
                </w:tcPr>
                <w:p>
                  <w:pPr>
                    <w:pStyle w:val="89"/>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环保工程</w:t>
                  </w:r>
                </w:p>
              </w:tc>
              <w:tc>
                <w:tcPr>
                  <w:tcW w:w="786" w:type="pct"/>
                  <w:tcBorders>
                    <w:top w:val="single" w:color="auto" w:sz="4" w:space="0"/>
                    <w:left w:val="single" w:color="auto" w:sz="4" w:space="0"/>
                    <w:bottom w:val="single" w:color="auto" w:sz="4" w:space="0"/>
                    <w:right w:val="single" w:color="auto" w:sz="4" w:space="0"/>
                  </w:tcBorders>
                  <w:vAlign w:val="center"/>
                </w:tcPr>
                <w:p>
                  <w:pPr>
                    <w:pStyle w:val="84"/>
                    <w:rPr>
                      <w:color w:val="000000" w:themeColor="text1"/>
                      <w14:textFill>
                        <w14:solidFill>
                          <w14:schemeClr w14:val="tx1"/>
                        </w14:solidFill>
                      </w14:textFill>
                    </w:rPr>
                  </w:pPr>
                  <w:r>
                    <w:rPr>
                      <w:color w:val="000000" w:themeColor="text1"/>
                      <w14:textFill>
                        <w14:solidFill>
                          <w14:schemeClr w14:val="tx1"/>
                        </w14:solidFill>
                      </w14:textFill>
                    </w:rPr>
                    <w:t>废气处理</w:t>
                  </w:r>
                </w:p>
              </w:tc>
              <w:tc>
                <w:tcPr>
                  <w:tcW w:w="3030" w:type="pct"/>
                  <w:tcBorders>
                    <w:top w:val="single" w:color="auto" w:sz="4" w:space="0"/>
                    <w:left w:val="single" w:color="auto" w:sz="4" w:space="0"/>
                    <w:bottom w:val="single" w:color="auto" w:sz="4" w:space="0"/>
                    <w:right w:val="single" w:color="auto" w:sz="4" w:space="0"/>
                  </w:tcBorders>
                  <w:vAlign w:val="center"/>
                </w:tcPr>
                <w:p>
                  <w:pPr>
                    <w:pStyle w:val="84"/>
                    <w:rPr>
                      <w:color w:val="000000" w:themeColor="text1"/>
                      <w14:textFill>
                        <w14:solidFill>
                          <w14:schemeClr w14:val="tx1"/>
                        </w14:solidFill>
                      </w14:textFill>
                    </w:rPr>
                  </w:pPr>
                  <w:r>
                    <w:rPr>
                      <w:rFonts w:hint="eastAsia"/>
                      <w:color w:val="000000" w:themeColor="text1"/>
                      <w:highlight w:val="yellow"/>
                      <w14:textFill>
                        <w14:solidFill>
                          <w14:schemeClr w14:val="tx1"/>
                        </w14:solidFill>
                      </w14:textFill>
                    </w:rPr>
                    <w:t>原料及产品含水率高，不产生废气</w:t>
                  </w:r>
                  <w:r>
                    <w:rPr>
                      <w:color w:val="000000" w:themeColor="text1"/>
                      <w:highlight w:val="yellow"/>
                      <w14:textFill>
                        <w14:solidFill>
                          <w14:schemeClr w14:val="tx1"/>
                        </w14:solidFill>
                      </w14:textFill>
                    </w:rPr>
                    <w:t>。</w:t>
                  </w:r>
                  <w:r>
                    <w:rPr>
                      <w:rFonts w:hint="eastAsia"/>
                      <w:color w:val="000000" w:themeColor="text1"/>
                      <w:highlight w:val="yellow"/>
                      <w14:textFill>
                        <w14:solidFill>
                          <w14:schemeClr w14:val="tx1"/>
                        </w14:solidFill>
                      </w14:textFill>
                    </w:rPr>
                    <w:t>依托的成品存放区</w:t>
                  </w:r>
                  <w:r>
                    <w:rPr>
                      <w:color w:val="000000" w:themeColor="text1"/>
                      <w:highlight w:val="yellow"/>
                      <w14:textFill>
                        <w14:solidFill>
                          <w14:schemeClr w14:val="tx1"/>
                        </w14:solidFill>
                      </w14:textFill>
                    </w:rPr>
                    <w:t>、</w:t>
                  </w:r>
                  <w:r>
                    <w:rPr>
                      <w:rFonts w:hint="eastAsia"/>
                      <w:color w:val="000000" w:themeColor="text1"/>
                      <w:highlight w:val="yellow"/>
                      <w14:textFill>
                        <w14:solidFill>
                          <w14:schemeClr w14:val="tx1"/>
                        </w14:solidFill>
                      </w14:textFill>
                    </w:rPr>
                    <w:t>现有</w:t>
                  </w:r>
                  <w:r>
                    <w:rPr>
                      <w:color w:val="000000" w:themeColor="text1"/>
                      <w:highlight w:val="yellow"/>
                      <w14:textFill>
                        <w14:solidFill>
                          <w14:schemeClr w14:val="tx1"/>
                        </w14:solidFill>
                      </w14:textFill>
                    </w:rPr>
                    <w:t>成品库全部为全封闭式。</w:t>
                  </w:r>
                </w:p>
              </w:tc>
              <w:tc>
                <w:tcPr>
                  <w:tcW w:w="590" w:type="pct"/>
                  <w:vMerge w:val="restart"/>
                  <w:tcBorders>
                    <w:top w:val="nil"/>
                    <w:left w:val="single" w:color="auto" w:sz="4" w:space="0"/>
                    <w:right w:val="single" w:color="auto" w:sz="4" w:space="0"/>
                  </w:tcBorders>
                  <w:vAlign w:val="center"/>
                </w:tcPr>
                <w:p>
                  <w:pPr>
                    <w:pStyle w:val="84"/>
                    <w:rPr>
                      <w:color w:val="000000" w:themeColor="text1"/>
                      <w14:textFill>
                        <w14:solidFill>
                          <w14:schemeClr w14:val="tx1"/>
                        </w14:solidFill>
                      </w14:textFill>
                    </w:rPr>
                  </w:pPr>
                  <w:r>
                    <w:rPr>
                      <w:rFonts w:hint="eastAsia"/>
                    </w:rPr>
                    <w:t>“三同时”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2" w:hRule="atLeast"/>
              </w:trPr>
              <w:tc>
                <w:tcPr>
                  <w:tcW w:w="594" w:type="pct"/>
                  <w:vMerge w:val="continue"/>
                  <w:tcBorders>
                    <w:left w:val="single" w:color="auto" w:sz="4" w:space="0"/>
                    <w:right w:val="single" w:color="auto" w:sz="4" w:space="0"/>
                  </w:tcBorders>
                  <w:vAlign w:val="center"/>
                </w:tcPr>
                <w:p>
                  <w:pPr>
                    <w:widowControl/>
                    <w:jc w:val="left"/>
                    <w:rPr>
                      <w:rFonts w:ascii="Times New Roman" w:hAnsi="Times New Roman" w:eastAsia="宋体" w:cs="Times New Roman"/>
                      <w:color w:val="000000" w:themeColor="text1"/>
                      <w:szCs w:val="21"/>
                      <w14:textFill>
                        <w14:solidFill>
                          <w14:schemeClr w14:val="tx1"/>
                        </w14:solidFill>
                      </w14:textFill>
                    </w:rPr>
                  </w:pPr>
                </w:p>
              </w:tc>
              <w:tc>
                <w:tcPr>
                  <w:tcW w:w="786" w:type="pct"/>
                  <w:tcBorders>
                    <w:top w:val="single" w:color="auto" w:sz="4" w:space="0"/>
                    <w:left w:val="single" w:color="auto" w:sz="4" w:space="0"/>
                    <w:bottom w:val="single" w:color="auto" w:sz="4" w:space="0"/>
                    <w:right w:val="single" w:color="auto" w:sz="4" w:space="0"/>
                  </w:tcBorders>
                  <w:vAlign w:val="center"/>
                </w:tcPr>
                <w:p>
                  <w:pPr>
                    <w:pStyle w:val="84"/>
                    <w:rPr>
                      <w:color w:val="000000" w:themeColor="text1"/>
                      <w14:textFill>
                        <w14:solidFill>
                          <w14:schemeClr w14:val="tx1"/>
                        </w14:solidFill>
                      </w14:textFill>
                    </w:rPr>
                  </w:pPr>
                  <w:r>
                    <w:rPr>
                      <w:color w:val="000000" w:themeColor="text1"/>
                      <w14:textFill>
                        <w14:solidFill>
                          <w14:schemeClr w14:val="tx1"/>
                        </w14:solidFill>
                      </w14:textFill>
                    </w:rPr>
                    <w:t>废水处理</w:t>
                  </w:r>
                </w:p>
              </w:tc>
              <w:tc>
                <w:tcPr>
                  <w:tcW w:w="3030" w:type="pct"/>
                  <w:tcBorders>
                    <w:top w:val="single" w:color="auto" w:sz="4" w:space="0"/>
                    <w:left w:val="single" w:color="auto" w:sz="4" w:space="0"/>
                    <w:bottom w:val="single" w:color="auto" w:sz="4" w:space="0"/>
                    <w:right w:val="single" w:color="auto" w:sz="4" w:space="0"/>
                  </w:tcBorders>
                  <w:vAlign w:val="center"/>
                </w:tcPr>
                <w:p>
                  <w:pPr>
                    <w:pStyle w:val="84"/>
                    <w:rPr>
                      <w:color w:val="000000" w:themeColor="text1"/>
                      <w14:textFill>
                        <w14:solidFill>
                          <w14:schemeClr w14:val="tx1"/>
                        </w14:solidFill>
                      </w14:textFill>
                    </w:rPr>
                  </w:pPr>
                  <w:r>
                    <w:rPr>
                      <w:rFonts w:hint="eastAsia"/>
                      <w:bCs/>
                      <w:color w:val="000000" w:themeColor="text1"/>
                      <w14:textFill>
                        <w14:solidFill>
                          <w14:schemeClr w14:val="tx1"/>
                        </w14:solidFill>
                      </w14:textFill>
                    </w:rPr>
                    <w:t>在新增压滤机旁建设废水循环池2</w:t>
                  </w:r>
                  <w:r>
                    <w:rPr>
                      <w:bCs/>
                      <w:color w:val="000000" w:themeColor="text1"/>
                      <w14:textFill>
                        <w14:solidFill>
                          <w14:schemeClr w14:val="tx1"/>
                        </w14:solidFill>
                      </w14:textFill>
                    </w:rPr>
                    <w:t>0</w:t>
                  </w:r>
                  <w:r>
                    <w:rPr>
                      <w:rFonts w:hint="eastAsia"/>
                      <w:bCs/>
                      <w:color w:val="000000" w:themeColor="text1"/>
                      <w14:textFill>
                        <w14:solidFill>
                          <w14:schemeClr w14:val="tx1"/>
                        </w14:solidFill>
                      </w14:textFill>
                    </w:rPr>
                    <w:t>m</w:t>
                  </w:r>
                  <w:r>
                    <w:rPr>
                      <w:bCs/>
                      <w:color w:val="000000" w:themeColor="text1"/>
                      <w:vertAlign w:val="superscript"/>
                      <w14:textFill>
                        <w14:solidFill>
                          <w14:schemeClr w14:val="tx1"/>
                        </w14:solidFill>
                      </w14:textFill>
                    </w:rPr>
                    <w:t>3</w:t>
                  </w:r>
                  <w:r>
                    <w:rPr>
                      <w:bCs/>
                      <w:color w:val="000000" w:themeColor="text1"/>
                      <w14:textFill>
                        <w14:solidFill>
                          <w14:schemeClr w14:val="tx1"/>
                        </w14:solidFill>
                      </w14:textFill>
                    </w:rPr>
                    <w:t>。生产</w:t>
                  </w:r>
                  <w:r>
                    <w:rPr>
                      <w:rFonts w:hint="eastAsia"/>
                      <w:bCs/>
                      <w:color w:val="000000" w:themeColor="text1"/>
                      <w14:textFill>
                        <w14:solidFill>
                          <w14:schemeClr w14:val="tx1"/>
                        </w14:solidFill>
                      </w14:textFill>
                    </w:rPr>
                    <w:t>废</w:t>
                  </w:r>
                  <w:r>
                    <w:rPr>
                      <w:bCs/>
                      <w:color w:val="000000" w:themeColor="text1"/>
                      <w14:textFill>
                        <w14:solidFill>
                          <w14:schemeClr w14:val="tx1"/>
                        </w14:solidFill>
                      </w14:textFill>
                    </w:rPr>
                    <w:t>水循环使用，不外排。</w:t>
                  </w:r>
                </w:p>
              </w:tc>
              <w:tc>
                <w:tcPr>
                  <w:tcW w:w="590" w:type="pct"/>
                  <w:vMerge w:val="continue"/>
                  <w:tcBorders>
                    <w:left w:val="single" w:color="auto" w:sz="4" w:space="0"/>
                    <w:right w:val="single" w:color="auto" w:sz="4" w:space="0"/>
                  </w:tcBorders>
                  <w:vAlign w:val="center"/>
                </w:tcPr>
                <w:p>
                  <w:pPr>
                    <w:pStyle w:val="84"/>
                    <w:rPr>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trPr>
              <w:tc>
                <w:tcPr>
                  <w:tcW w:w="594" w:type="pct"/>
                  <w:vMerge w:val="continue"/>
                  <w:tcBorders>
                    <w:left w:val="single" w:color="auto" w:sz="4" w:space="0"/>
                    <w:right w:val="single" w:color="auto" w:sz="4" w:space="0"/>
                  </w:tcBorders>
                  <w:vAlign w:val="center"/>
                </w:tcPr>
                <w:p>
                  <w:pPr>
                    <w:widowControl/>
                    <w:jc w:val="left"/>
                    <w:rPr>
                      <w:rFonts w:ascii="Times New Roman" w:hAnsi="Times New Roman" w:eastAsia="宋体" w:cs="Times New Roman"/>
                      <w:color w:val="000000" w:themeColor="text1"/>
                      <w:szCs w:val="21"/>
                      <w14:textFill>
                        <w14:solidFill>
                          <w14:schemeClr w14:val="tx1"/>
                        </w14:solidFill>
                      </w14:textFill>
                    </w:rPr>
                  </w:pPr>
                </w:p>
              </w:tc>
              <w:tc>
                <w:tcPr>
                  <w:tcW w:w="786" w:type="pct"/>
                  <w:tcBorders>
                    <w:top w:val="single" w:color="auto" w:sz="4" w:space="0"/>
                    <w:left w:val="single" w:color="auto" w:sz="4" w:space="0"/>
                    <w:bottom w:val="single" w:color="auto" w:sz="4" w:space="0"/>
                    <w:right w:val="single" w:color="auto" w:sz="4" w:space="0"/>
                  </w:tcBorders>
                  <w:vAlign w:val="center"/>
                </w:tcPr>
                <w:p>
                  <w:pPr>
                    <w:pStyle w:val="84"/>
                    <w:rPr>
                      <w:color w:val="000000" w:themeColor="text1"/>
                      <w14:textFill>
                        <w14:solidFill>
                          <w14:schemeClr w14:val="tx1"/>
                        </w14:solidFill>
                      </w14:textFill>
                    </w:rPr>
                  </w:pPr>
                  <w:r>
                    <w:rPr>
                      <w:color w:val="000000" w:themeColor="text1"/>
                      <w14:textFill>
                        <w14:solidFill>
                          <w14:schemeClr w14:val="tx1"/>
                        </w14:solidFill>
                      </w14:textFill>
                    </w:rPr>
                    <w:t>固体废弃物处理</w:t>
                  </w:r>
                </w:p>
              </w:tc>
              <w:tc>
                <w:tcPr>
                  <w:tcW w:w="3030" w:type="pct"/>
                  <w:tcBorders>
                    <w:top w:val="single" w:color="auto" w:sz="4" w:space="0"/>
                    <w:left w:val="single" w:color="auto" w:sz="4" w:space="0"/>
                    <w:bottom w:val="single" w:color="auto" w:sz="4" w:space="0"/>
                    <w:right w:val="single" w:color="auto" w:sz="4" w:space="0"/>
                  </w:tcBorders>
                  <w:vAlign w:val="center"/>
                </w:tcPr>
                <w:p>
                  <w:pPr>
                    <w:pStyle w:val="84"/>
                    <w:rPr>
                      <w:color w:val="000000" w:themeColor="text1"/>
                      <w14:textFill>
                        <w14:solidFill>
                          <w14:schemeClr w14:val="tx1"/>
                        </w14:solidFill>
                      </w14:textFill>
                    </w:rPr>
                  </w:pPr>
                  <w:bookmarkStart w:id="133" w:name="OLE_LINK203"/>
                  <w:bookmarkStart w:id="134" w:name="OLE_LINK202"/>
                  <w:r>
                    <w:rPr>
                      <w:rFonts w:hint="eastAsia"/>
                      <w:color w:val="000000" w:themeColor="text1"/>
                      <w14:textFill>
                        <w14:solidFill>
                          <w14:schemeClr w14:val="tx1"/>
                        </w14:solidFill>
                      </w14:textFill>
                    </w:rPr>
                    <w:t>废水循环池底泥定期清理，</w:t>
                  </w:r>
                  <w:r>
                    <w:rPr>
                      <w:rFonts w:hint="eastAsia"/>
                      <w:color w:val="000000" w:themeColor="text1"/>
                      <w:highlight w:val="yellow"/>
                      <w14:textFill>
                        <w14:solidFill>
                          <w14:schemeClr w14:val="tx1"/>
                        </w14:solidFill>
                      </w14:textFill>
                    </w:rPr>
                    <w:t>回用于本次技改的生产；</w:t>
                  </w:r>
                  <w:bookmarkEnd w:id="133"/>
                  <w:bookmarkEnd w:id="134"/>
                  <w:r>
                    <w:rPr>
                      <w:rFonts w:hint="eastAsia"/>
                      <w:color w:val="000000" w:themeColor="text1"/>
                      <w:highlight w:val="yellow"/>
                      <w14:textFill>
                        <w14:solidFill>
                          <w14:schemeClr w14:val="tx1"/>
                        </w14:solidFill>
                      </w14:textFill>
                    </w:rPr>
                    <w:t>废滤布定期更换，有厂家回收处理；</w:t>
                  </w:r>
                  <w:r>
                    <w:rPr>
                      <w:color w:val="000000" w:themeColor="text1"/>
                      <w14:textFill>
                        <w14:solidFill>
                          <w14:schemeClr w14:val="tx1"/>
                        </w14:solidFill>
                      </w14:textFill>
                    </w:rPr>
                    <w:t>设备维护过程中产生的废机油与废油桶暂存在</w:t>
                  </w:r>
                  <w:r>
                    <w:rPr>
                      <w:rFonts w:hint="eastAsia"/>
                      <w:bCs/>
                    </w:rPr>
                    <w:t>现有工程</w:t>
                  </w:r>
                  <w:r>
                    <w:rPr>
                      <w:color w:val="000000" w:themeColor="text1"/>
                      <w14:textFill>
                        <w14:solidFill>
                          <w14:schemeClr w14:val="tx1"/>
                        </w14:solidFill>
                      </w14:textFill>
                    </w:rPr>
                    <w:t>危废库，委托</w:t>
                  </w:r>
                  <w:r>
                    <w:rPr>
                      <w:rFonts w:hint="eastAsia"/>
                      <w:color w:val="FF0000"/>
                    </w:rPr>
                    <w:t>有</w:t>
                  </w:r>
                  <w:r>
                    <w:rPr>
                      <w:rFonts w:hint="eastAsia"/>
                      <w:color w:val="000000" w:themeColor="text1"/>
                      <w:highlight w:val="yellow"/>
                      <w14:textFill>
                        <w14:solidFill>
                          <w14:schemeClr w14:val="tx1"/>
                        </w14:solidFill>
                      </w14:textFill>
                    </w:rPr>
                    <w:t>资质单位（</w:t>
                  </w:r>
                  <w:r>
                    <w:rPr>
                      <w:rFonts w:hint="eastAsia"/>
                      <w:kern w:val="0"/>
                      <w:highlight w:val="yellow"/>
                    </w:rPr>
                    <w:t>内蒙古忠信再生资源科技有限责任公司</w:t>
                  </w:r>
                  <w:r>
                    <w:rPr>
                      <w:rFonts w:hint="eastAsia"/>
                      <w:color w:val="000000" w:themeColor="text1"/>
                      <w:highlight w:val="yellow"/>
                      <w14:textFill>
                        <w14:solidFill>
                          <w14:schemeClr w14:val="tx1"/>
                        </w14:solidFill>
                      </w14:textFill>
                    </w:rPr>
                    <w:t>）</w:t>
                  </w:r>
                  <w:r>
                    <w:rPr>
                      <w:color w:val="000000" w:themeColor="text1"/>
                      <w14:textFill>
                        <w14:solidFill>
                          <w14:schemeClr w14:val="tx1"/>
                        </w14:solidFill>
                      </w14:textFill>
                    </w:rPr>
                    <w:t>处理。</w:t>
                  </w:r>
                </w:p>
              </w:tc>
              <w:tc>
                <w:tcPr>
                  <w:tcW w:w="590" w:type="pct"/>
                  <w:vMerge w:val="continue"/>
                  <w:tcBorders>
                    <w:left w:val="single" w:color="auto" w:sz="4" w:space="0"/>
                    <w:right w:val="single" w:color="auto" w:sz="4" w:space="0"/>
                  </w:tcBorders>
                  <w:vAlign w:val="center"/>
                </w:tcPr>
                <w:p>
                  <w:pPr>
                    <w:pStyle w:val="84"/>
                    <w:rPr>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94" w:type="pct"/>
                  <w:vMerge w:val="continue"/>
                  <w:tcBorders>
                    <w:left w:val="single" w:color="auto" w:sz="4" w:space="0"/>
                    <w:right w:val="single" w:color="auto" w:sz="4" w:space="0"/>
                  </w:tcBorders>
                  <w:vAlign w:val="center"/>
                </w:tcPr>
                <w:p>
                  <w:pPr>
                    <w:widowControl/>
                    <w:jc w:val="left"/>
                    <w:rPr>
                      <w:rFonts w:ascii="Times New Roman" w:hAnsi="Times New Roman" w:eastAsia="宋体" w:cs="Times New Roman"/>
                      <w:color w:val="000000" w:themeColor="text1"/>
                      <w:szCs w:val="21"/>
                      <w14:textFill>
                        <w14:solidFill>
                          <w14:schemeClr w14:val="tx1"/>
                        </w14:solidFill>
                      </w14:textFill>
                    </w:rPr>
                  </w:pPr>
                </w:p>
              </w:tc>
              <w:tc>
                <w:tcPr>
                  <w:tcW w:w="786" w:type="pct"/>
                  <w:tcBorders>
                    <w:top w:val="single" w:color="auto" w:sz="4" w:space="0"/>
                    <w:left w:val="single" w:color="auto" w:sz="4" w:space="0"/>
                    <w:bottom w:val="single" w:color="auto" w:sz="4" w:space="0"/>
                    <w:right w:val="single" w:color="auto" w:sz="4" w:space="0"/>
                  </w:tcBorders>
                  <w:vAlign w:val="center"/>
                </w:tcPr>
                <w:p>
                  <w:pPr>
                    <w:pStyle w:val="84"/>
                    <w:rPr>
                      <w:color w:val="000000" w:themeColor="text1"/>
                      <w14:textFill>
                        <w14:solidFill>
                          <w14:schemeClr w14:val="tx1"/>
                        </w14:solidFill>
                      </w14:textFill>
                    </w:rPr>
                  </w:pPr>
                  <w:r>
                    <w:rPr>
                      <w:color w:val="000000" w:themeColor="text1"/>
                      <w14:textFill>
                        <w14:solidFill>
                          <w14:schemeClr w14:val="tx1"/>
                        </w14:solidFill>
                      </w14:textFill>
                    </w:rPr>
                    <w:t>噪声处理</w:t>
                  </w:r>
                </w:p>
              </w:tc>
              <w:tc>
                <w:tcPr>
                  <w:tcW w:w="3030" w:type="pct"/>
                  <w:tcBorders>
                    <w:top w:val="single" w:color="auto" w:sz="4" w:space="0"/>
                    <w:left w:val="single" w:color="auto" w:sz="4" w:space="0"/>
                    <w:bottom w:val="single" w:color="auto" w:sz="4" w:space="0"/>
                    <w:right w:val="single" w:color="auto" w:sz="4" w:space="0"/>
                  </w:tcBorders>
                  <w:vAlign w:val="center"/>
                </w:tcPr>
                <w:p>
                  <w:pPr>
                    <w:pStyle w:val="84"/>
                    <w:rPr>
                      <w:color w:val="000000" w:themeColor="text1"/>
                      <w14:textFill>
                        <w14:solidFill>
                          <w14:schemeClr w14:val="tx1"/>
                        </w14:solidFill>
                      </w14:textFill>
                    </w:rPr>
                  </w:pPr>
                  <w:r>
                    <w:rPr>
                      <w:color w:val="000000" w:themeColor="text1"/>
                      <w14:textFill>
                        <w14:solidFill>
                          <w14:schemeClr w14:val="tx1"/>
                        </w14:solidFill>
                      </w14:textFill>
                    </w:rPr>
                    <w:t>采用低噪声设备，维持设备处于良好的运转状态、对设备运行噪声采用消声减震措施。</w:t>
                  </w:r>
                </w:p>
              </w:tc>
              <w:tc>
                <w:tcPr>
                  <w:tcW w:w="590" w:type="pct"/>
                  <w:vMerge w:val="continue"/>
                  <w:tcBorders>
                    <w:left w:val="single" w:color="auto" w:sz="4" w:space="0"/>
                    <w:right w:val="single" w:color="auto" w:sz="4" w:space="0"/>
                  </w:tcBorders>
                  <w:vAlign w:val="center"/>
                </w:tcPr>
                <w:p>
                  <w:pPr>
                    <w:pStyle w:val="84"/>
                    <w:rPr>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94" w:type="pct"/>
                  <w:vMerge w:val="continue"/>
                  <w:tcBorders>
                    <w:left w:val="single" w:color="auto" w:sz="4" w:space="0"/>
                    <w:right w:val="single" w:color="auto" w:sz="4" w:space="0"/>
                  </w:tcBorders>
                  <w:vAlign w:val="center"/>
                </w:tcPr>
                <w:p>
                  <w:pPr>
                    <w:widowControl/>
                    <w:jc w:val="left"/>
                    <w:rPr>
                      <w:rFonts w:ascii="Times New Roman" w:hAnsi="Times New Roman" w:eastAsia="宋体" w:cs="Times New Roman"/>
                      <w:color w:val="000000" w:themeColor="text1"/>
                      <w:szCs w:val="21"/>
                      <w14:textFill>
                        <w14:solidFill>
                          <w14:schemeClr w14:val="tx1"/>
                        </w14:solidFill>
                      </w14:textFill>
                    </w:rPr>
                  </w:pPr>
                </w:p>
              </w:tc>
              <w:tc>
                <w:tcPr>
                  <w:tcW w:w="786" w:type="pct"/>
                  <w:tcBorders>
                    <w:top w:val="single" w:color="auto" w:sz="4" w:space="0"/>
                    <w:left w:val="single" w:color="auto" w:sz="4" w:space="0"/>
                    <w:bottom w:val="single" w:color="auto" w:sz="4" w:space="0"/>
                    <w:right w:val="single" w:color="auto" w:sz="4" w:space="0"/>
                  </w:tcBorders>
                  <w:vAlign w:val="center"/>
                </w:tcPr>
                <w:p>
                  <w:pPr>
                    <w:pStyle w:val="84"/>
                    <w:rPr>
                      <w:color w:val="000000" w:themeColor="text1"/>
                      <w14:textFill>
                        <w14:solidFill>
                          <w14:schemeClr w14:val="tx1"/>
                        </w14:solidFill>
                      </w14:textFill>
                    </w:rPr>
                  </w:pPr>
                  <w:r>
                    <w:rPr>
                      <w:rFonts w:hint="eastAsia"/>
                      <w:color w:val="000000" w:themeColor="text1"/>
                      <w14:textFill>
                        <w14:solidFill>
                          <w14:schemeClr w14:val="tx1"/>
                        </w14:solidFill>
                      </w14:textFill>
                    </w:rPr>
                    <w:t>防渗</w:t>
                  </w:r>
                </w:p>
              </w:tc>
              <w:tc>
                <w:tcPr>
                  <w:tcW w:w="3030" w:type="pct"/>
                  <w:tcBorders>
                    <w:top w:val="single" w:color="auto" w:sz="4" w:space="0"/>
                    <w:left w:val="single" w:color="auto" w:sz="4" w:space="0"/>
                    <w:bottom w:val="single" w:color="auto" w:sz="4" w:space="0"/>
                    <w:right w:val="single" w:color="auto" w:sz="4" w:space="0"/>
                  </w:tcBorders>
                  <w:vAlign w:val="center"/>
                </w:tcPr>
                <w:p>
                  <w:pPr>
                    <w:pStyle w:val="81"/>
                    <w:spacing w:line="240" w:lineRule="auto"/>
                    <w:ind w:firstLine="420"/>
                    <w:rPr>
                      <w:bCs/>
                      <w:sz w:val="21"/>
                      <w:szCs w:val="21"/>
                    </w:rPr>
                  </w:pPr>
                  <w:r>
                    <w:rPr>
                      <w:rFonts w:hint="eastAsia"/>
                      <w:sz w:val="21"/>
                      <w:szCs w:val="21"/>
                      <w:highlight w:val="yellow"/>
                    </w:rPr>
                    <w:t>现有工程成品库及成品存放区，</w:t>
                  </w:r>
                  <w:bookmarkStart w:id="135" w:name="OLE_LINK274"/>
                  <w:bookmarkStart w:id="136" w:name="OLE_LINK273"/>
                  <w:r>
                    <w:rPr>
                      <w:bCs/>
                      <w:sz w:val="21"/>
                      <w:szCs w:val="21"/>
                      <w:highlight w:val="yellow"/>
                    </w:rPr>
                    <w:t>采用抗渗混凝土+防水砂浆，渗透系数≤1×10</w:t>
                  </w:r>
                  <w:r>
                    <w:rPr>
                      <w:bCs/>
                      <w:sz w:val="21"/>
                      <w:szCs w:val="21"/>
                      <w:highlight w:val="yellow"/>
                      <w:vertAlign w:val="superscript"/>
                    </w:rPr>
                    <w:t>-7</w:t>
                  </w:r>
                  <w:r>
                    <w:rPr>
                      <w:bCs/>
                      <w:sz w:val="21"/>
                      <w:szCs w:val="21"/>
                      <w:highlight w:val="yellow"/>
                    </w:rPr>
                    <w:t>cm/s</w:t>
                  </w:r>
                  <w:bookmarkEnd w:id="135"/>
                  <w:bookmarkEnd w:id="136"/>
                  <w:r>
                    <w:rPr>
                      <w:bCs/>
                      <w:sz w:val="21"/>
                      <w:szCs w:val="21"/>
                      <w:highlight w:val="yellow"/>
                    </w:rPr>
                    <w:t>。</w:t>
                  </w:r>
                  <w:r>
                    <w:rPr>
                      <w:rFonts w:hint="eastAsia"/>
                      <w:sz w:val="21"/>
                      <w:szCs w:val="21"/>
                      <w:highlight w:val="yellow"/>
                    </w:rPr>
                    <w:t>新建废水循环水池为一般防渗区，</w:t>
                  </w:r>
                  <w:r>
                    <w:rPr>
                      <w:sz w:val="21"/>
                      <w:szCs w:val="21"/>
                      <w:highlight w:val="yellow"/>
                    </w:rPr>
                    <w:t>要求：等效黏土防渗层Mb≥1.5m，K≤1×10</w:t>
                  </w:r>
                  <w:r>
                    <w:rPr>
                      <w:sz w:val="21"/>
                      <w:szCs w:val="21"/>
                      <w:highlight w:val="yellow"/>
                      <w:vertAlign w:val="superscript"/>
                    </w:rPr>
                    <w:t>-7</w:t>
                  </w:r>
                  <w:r>
                    <w:rPr>
                      <w:sz w:val="21"/>
                      <w:szCs w:val="21"/>
                      <w:highlight w:val="yellow"/>
                    </w:rPr>
                    <w:t>cm/s。</w:t>
                  </w:r>
                </w:p>
              </w:tc>
              <w:tc>
                <w:tcPr>
                  <w:tcW w:w="590" w:type="pct"/>
                  <w:vMerge w:val="continue"/>
                  <w:tcBorders>
                    <w:left w:val="single" w:color="auto" w:sz="4" w:space="0"/>
                    <w:bottom w:val="single" w:color="auto" w:sz="4" w:space="0"/>
                    <w:right w:val="single" w:color="auto" w:sz="4" w:space="0"/>
                  </w:tcBorders>
                  <w:vAlign w:val="center"/>
                </w:tcPr>
                <w:p>
                  <w:pPr>
                    <w:pStyle w:val="84"/>
                    <w:rPr>
                      <w:color w:val="000000" w:themeColor="text1"/>
                      <w14:textFill>
                        <w14:solidFill>
                          <w14:schemeClr w14:val="tx1"/>
                        </w14:solidFill>
                      </w14:textFill>
                    </w:rPr>
                  </w:pPr>
                </w:p>
              </w:tc>
            </w:tr>
            <w:bookmarkEnd w:id="105"/>
            <w:bookmarkEnd w:id="106"/>
            <w:bookmarkEnd w:id="107"/>
            <w:bookmarkEnd w:id="108"/>
            <w:bookmarkEnd w:id="109"/>
            <w:bookmarkEnd w:id="110"/>
          </w:tbl>
          <w:p>
            <w:pPr>
              <w:pStyle w:val="92"/>
              <w:spacing w:before="120"/>
              <w:rPr>
                <w:rFonts w:hint="default" w:ascii="Times New Roman" w:hAnsi="Times New Roman" w:cs="Times New Roman"/>
                <w:color w:val="auto"/>
              </w:rPr>
            </w:pPr>
            <w:r>
              <w:rPr>
                <w:rFonts w:ascii="Times New Roman" w:hAnsi="Times New Roman" w:cs="Times New Roman"/>
                <w:color w:val="auto"/>
              </w:rPr>
              <w:t>生产</w:t>
            </w:r>
            <w:r>
              <w:rPr>
                <w:rFonts w:hint="default" w:ascii="Times New Roman" w:hAnsi="Times New Roman" w:cs="Times New Roman"/>
                <w:color w:val="auto"/>
              </w:rPr>
              <w:t>设备</w:t>
            </w:r>
          </w:p>
          <w:p>
            <w:pPr>
              <w:pStyle w:val="110"/>
              <w:ind w:firstLine="480"/>
            </w:pPr>
            <w:r>
              <w:t>本项目的主要生产设备见下表。</w:t>
            </w:r>
          </w:p>
          <w:p>
            <w:pPr>
              <w:pStyle w:val="89"/>
              <w:rPr>
                <w:rFonts w:hint="default" w:ascii="Times New Roman" w:hAnsi="Times New Roman" w:cs="Times New Roman"/>
                <w:color w:val="auto"/>
                <w:sz w:val="21"/>
              </w:rPr>
            </w:pPr>
            <w:r>
              <w:rPr>
                <w:rFonts w:hint="default" w:ascii="Times New Roman" w:hAnsi="Times New Roman" w:cs="Times New Roman"/>
                <w:color w:val="auto"/>
                <w:sz w:val="21"/>
              </w:rPr>
              <w:t>表2-8 设备清单</w:t>
            </w: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1"/>
              <w:gridCol w:w="1383"/>
              <w:gridCol w:w="974"/>
              <w:gridCol w:w="1909"/>
              <w:gridCol w:w="755"/>
              <w:gridCol w:w="2047"/>
              <w:gridCol w:w="11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6" w:type="pct"/>
                  <w:vMerge w:val="restart"/>
                  <w:vAlign w:val="center"/>
                </w:tcPr>
                <w:p>
                  <w:pPr>
                    <w:pStyle w:val="67"/>
                    <w:rPr>
                      <w:b/>
                      <w:bCs/>
                      <w:lang w:eastAsia="zh-CN"/>
                    </w:rPr>
                  </w:pPr>
                  <w:bookmarkStart w:id="137" w:name="_Hlk209518620"/>
                  <w:r>
                    <w:rPr>
                      <w:b/>
                      <w:bCs/>
                      <w:lang w:eastAsia="zh-CN"/>
                    </w:rPr>
                    <w:t>序号</w:t>
                  </w:r>
                </w:p>
              </w:tc>
              <w:tc>
                <w:tcPr>
                  <w:tcW w:w="802" w:type="pct"/>
                  <w:vMerge w:val="restart"/>
                  <w:vAlign w:val="center"/>
                </w:tcPr>
                <w:p>
                  <w:pPr>
                    <w:pStyle w:val="67"/>
                    <w:rPr>
                      <w:b/>
                      <w:bCs/>
                      <w:lang w:eastAsia="zh-CN"/>
                    </w:rPr>
                  </w:pPr>
                  <w:r>
                    <w:rPr>
                      <w:b/>
                      <w:bCs/>
                      <w:lang w:eastAsia="zh-CN"/>
                    </w:rPr>
                    <w:t>设备名称</w:t>
                  </w:r>
                </w:p>
              </w:tc>
              <w:tc>
                <w:tcPr>
                  <w:tcW w:w="1672" w:type="pct"/>
                  <w:gridSpan w:val="2"/>
                  <w:vAlign w:val="center"/>
                </w:tcPr>
                <w:p>
                  <w:pPr>
                    <w:pStyle w:val="67"/>
                    <w:rPr>
                      <w:b/>
                      <w:bCs/>
                      <w:lang w:eastAsia="zh-CN"/>
                    </w:rPr>
                  </w:pPr>
                  <w:r>
                    <w:rPr>
                      <w:b/>
                      <w:bCs/>
                      <w:lang w:eastAsia="zh-CN"/>
                    </w:rPr>
                    <w:t>现有工程建设内容</w:t>
                  </w:r>
                </w:p>
              </w:tc>
              <w:tc>
                <w:tcPr>
                  <w:tcW w:w="1625" w:type="pct"/>
                  <w:gridSpan w:val="2"/>
                </w:tcPr>
                <w:p>
                  <w:pPr>
                    <w:pStyle w:val="67"/>
                    <w:rPr>
                      <w:b/>
                      <w:bCs/>
                      <w:lang w:eastAsia="zh-CN"/>
                    </w:rPr>
                  </w:pPr>
                  <w:r>
                    <w:rPr>
                      <w:b/>
                      <w:bCs/>
                      <w:lang w:eastAsia="zh-CN"/>
                    </w:rPr>
                    <w:t>本次新增</w:t>
                  </w:r>
                </w:p>
              </w:tc>
              <w:tc>
                <w:tcPr>
                  <w:tcW w:w="644" w:type="pct"/>
                  <w:vMerge w:val="restart"/>
                  <w:vAlign w:val="center"/>
                </w:tcPr>
                <w:p>
                  <w:pPr>
                    <w:pStyle w:val="67"/>
                    <w:rPr>
                      <w:b/>
                      <w:bCs/>
                      <w:lang w:eastAsia="zh-CN"/>
                    </w:rPr>
                  </w:pPr>
                  <w:r>
                    <w:rPr>
                      <w:b/>
                      <w:bCs/>
                      <w:lang w:eastAsia="zh-CN"/>
                    </w:rPr>
                    <w:t>技改后全厂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6" w:type="pct"/>
                  <w:vMerge w:val="continue"/>
                  <w:vAlign w:val="center"/>
                </w:tcPr>
                <w:p>
                  <w:pPr>
                    <w:pStyle w:val="67"/>
                    <w:rPr>
                      <w:b/>
                      <w:bCs/>
                      <w:lang w:eastAsia="zh-CN"/>
                    </w:rPr>
                  </w:pPr>
                </w:p>
              </w:tc>
              <w:tc>
                <w:tcPr>
                  <w:tcW w:w="802" w:type="pct"/>
                  <w:vMerge w:val="continue"/>
                  <w:vAlign w:val="center"/>
                </w:tcPr>
                <w:p>
                  <w:pPr>
                    <w:pStyle w:val="67"/>
                    <w:rPr>
                      <w:b/>
                      <w:bCs/>
                      <w:lang w:eastAsia="zh-CN"/>
                    </w:rPr>
                  </w:pPr>
                </w:p>
              </w:tc>
              <w:tc>
                <w:tcPr>
                  <w:tcW w:w="565" w:type="pct"/>
                  <w:vAlign w:val="center"/>
                </w:tcPr>
                <w:p>
                  <w:pPr>
                    <w:pStyle w:val="67"/>
                    <w:rPr>
                      <w:b/>
                      <w:bCs/>
                      <w:lang w:eastAsia="zh-CN"/>
                    </w:rPr>
                  </w:pPr>
                  <w:r>
                    <w:rPr>
                      <w:b/>
                      <w:bCs/>
                      <w:lang w:eastAsia="zh-CN"/>
                    </w:rPr>
                    <w:t>数量</w:t>
                  </w:r>
                </w:p>
              </w:tc>
              <w:tc>
                <w:tcPr>
                  <w:tcW w:w="1107" w:type="pct"/>
                  <w:vAlign w:val="center"/>
                </w:tcPr>
                <w:p>
                  <w:pPr>
                    <w:pStyle w:val="67"/>
                    <w:rPr>
                      <w:b/>
                      <w:bCs/>
                      <w:lang w:eastAsia="zh-CN"/>
                    </w:rPr>
                  </w:pPr>
                  <w:r>
                    <w:rPr>
                      <w:b/>
                      <w:bCs/>
                      <w:lang w:eastAsia="zh-CN"/>
                    </w:rPr>
                    <w:t>型号</w:t>
                  </w:r>
                </w:p>
              </w:tc>
              <w:tc>
                <w:tcPr>
                  <w:tcW w:w="438" w:type="pct"/>
                  <w:vAlign w:val="center"/>
                </w:tcPr>
                <w:p>
                  <w:pPr>
                    <w:pStyle w:val="67"/>
                    <w:rPr>
                      <w:b/>
                      <w:bCs/>
                      <w:lang w:eastAsia="zh-CN"/>
                    </w:rPr>
                  </w:pPr>
                  <w:r>
                    <w:rPr>
                      <w:b/>
                      <w:bCs/>
                      <w:lang w:eastAsia="zh-CN"/>
                    </w:rPr>
                    <w:t>数量</w:t>
                  </w:r>
                </w:p>
              </w:tc>
              <w:tc>
                <w:tcPr>
                  <w:tcW w:w="1187" w:type="pct"/>
                  <w:vAlign w:val="center"/>
                </w:tcPr>
                <w:p>
                  <w:pPr>
                    <w:pStyle w:val="67"/>
                    <w:rPr>
                      <w:b/>
                      <w:bCs/>
                      <w:lang w:eastAsia="zh-CN"/>
                    </w:rPr>
                  </w:pPr>
                  <w:r>
                    <w:rPr>
                      <w:b/>
                      <w:bCs/>
                      <w:lang w:eastAsia="zh-CN"/>
                    </w:rPr>
                    <w:t>型号</w:t>
                  </w:r>
                </w:p>
              </w:tc>
              <w:tc>
                <w:tcPr>
                  <w:tcW w:w="644" w:type="pct"/>
                  <w:vMerge w:val="continue"/>
                </w:tcPr>
                <w:p>
                  <w:pPr>
                    <w:pStyle w:val="67"/>
                    <w:rPr>
                      <w:lang w:eastAsia="zh-CN"/>
                    </w:rPr>
                  </w:pPr>
                </w:p>
              </w:tc>
            </w:tr>
            <w:bookmarkEnd w:id="137"/>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6" w:type="pct"/>
                  <w:vAlign w:val="center"/>
                </w:tcPr>
                <w:p>
                  <w:pPr>
                    <w:pStyle w:val="67"/>
                    <w:rPr>
                      <w:lang w:eastAsia="zh-CN"/>
                    </w:rPr>
                  </w:pPr>
                  <w:r>
                    <w:rPr>
                      <w:lang w:eastAsia="zh-CN"/>
                    </w:rPr>
                    <w:t>1</w:t>
                  </w:r>
                </w:p>
              </w:tc>
              <w:tc>
                <w:tcPr>
                  <w:tcW w:w="802" w:type="pct"/>
                  <w:vAlign w:val="center"/>
                </w:tcPr>
                <w:p>
                  <w:pPr>
                    <w:pStyle w:val="67"/>
                    <w:rPr>
                      <w:lang w:eastAsia="zh-CN"/>
                    </w:rPr>
                  </w:pPr>
                  <w:r>
                    <w:rPr>
                      <w:lang w:eastAsia="zh-CN"/>
                    </w:rPr>
                    <w:t>给料机</w:t>
                  </w:r>
                </w:p>
              </w:tc>
              <w:tc>
                <w:tcPr>
                  <w:tcW w:w="565" w:type="pct"/>
                  <w:shd w:val="clear" w:color="auto" w:fill="auto"/>
                  <w:vAlign w:val="center"/>
                </w:tcPr>
                <w:p>
                  <w:pPr>
                    <w:pStyle w:val="67"/>
                    <w:rPr>
                      <w:lang w:eastAsia="zh-CN"/>
                    </w:rPr>
                  </w:pPr>
                  <w:r>
                    <w:rPr>
                      <w:lang w:eastAsia="zh-CN"/>
                    </w:rPr>
                    <w:t>1套</w:t>
                  </w:r>
                </w:p>
              </w:tc>
              <w:tc>
                <w:tcPr>
                  <w:tcW w:w="1107" w:type="pct"/>
                  <w:vAlign w:val="center"/>
                </w:tcPr>
                <w:p>
                  <w:pPr>
                    <w:pStyle w:val="67"/>
                    <w:rPr>
                      <w:lang w:eastAsia="zh-CN"/>
                    </w:rPr>
                  </w:pPr>
                  <w:r>
                    <w:rPr>
                      <w:lang w:eastAsia="zh-CN"/>
                    </w:rPr>
                    <w:t>450*200*40cm</w:t>
                  </w:r>
                </w:p>
              </w:tc>
              <w:tc>
                <w:tcPr>
                  <w:tcW w:w="438" w:type="pct"/>
                </w:tcPr>
                <w:p>
                  <w:pPr>
                    <w:pStyle w:val="67"/>
                    <w:rPr>
                      <w:lang w:eastAsia="zh-CN"/>
                    </w:rPr>
                  </w:pPr>
                  <w:r>
                    <w:rPr>
                      <w:rFonts w:hint="eastAsia"/>
                      <w:lang w:eastAsia="zh-CN"/>
                    </w:rPr>
                    <w:t>0</w:t>
                  </w:r>
                </w:p>
              </w:tc>
              <w:tc>
                <w:tcPr>
                  <w:tcW w:w="1187" w:type="pct"/>
                  <w:vAlign w:val="center"/>
                </w:tcPr>
                <w:p>
                  <w:pPr>
                    <w:pStyle w:val="67"/>
                    <w:rPr>
                      <w:lang w:eastAsia="zh-CN"/>
                    </w:rPr>
                  </w:pPr>
                  <w:r>
                    <w:rPr>
                      <w:rFonts w:hint="eastAsia"/>
                      <w:lang w:eastAsia="zh-CN"/>
                    </w:rPr>
                    <w:t>/</w:t>
                  </w:r>
                </w:p>
              </w:tc>
              <w:tc>
                <w:tcPr>
                  <w:tcW w:w="644" w:type="pct"/>
                  <w:vAlign w:val="center"/>
                </w:tcPr>
                <w:p>
                  <w:pPr>
                    <w:pStyle w:val="67"/>
                    <w:rPr>
                      <w:lang w:eastAsia="zh-CN"/>
                    </w:rPr>
                  </w:pPr>
                  <w:r>
                    <w:rPr>
                      <w:lang w:eastAsia="zh-CN"/>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6" w:type="pct"/>
                  <w:vAlign w:val="center"/>
                </w:tcPr>
                <w:p>
                  <w:pPr>
                    <w:pStyle w:val="67"/>
                    <w:rPr>
                      <w:lang w:eastAsia="zh-CN"/>
                    </w:rPr>
                  </w:pPr>
                  <w:r>
                    <w:rPr>
                      <w:lang w:eastAsia="zh-CN"/>
                    </w:rPr>
                    <w:t>2</w:t>
                  </w:r>
                </w:p>
              </w:tc>
              <w:tc>
                <w:tcPr>
                  <w:tcW w:w="802" w:type="pct"/>
                  <w:vAlign w:val="center"/>
                </w:tcPr>
                <w:p>
                  <w:pPr>
                    <w:pStyle w:val="67"/>
                    <w:rPr>
                      <w:lang w:eastAsia="zh-CN"/>
                    </w:rPr>
                  </w:pPr>
                  <w:r>
                    <w:rPr>
                      <w:lang w:eastAsia="zh-CN"/>
                    </w:rPr>
                    <w:t>滚筒筛</w:t>
                  </w:r>
                </w:p>
              </w:tc>
              <w:tc>
                <w:tcPr>
                  <w:tcW w:w="565" w:type="pct"/>
                  <w:shd w:val="clear" w:color="auto" w:fill="auto"/>
                  <w:vAlign w:val="center"/>
                </w:tcPr>
                <w:p>
                  <w:pPr>
                    <w:pStyle w:val="67"/>
                    <w:rPr>
                      <w:lang w:eastAsia="zh-CN"/>
                    </w:rPr>
                  </w:pPr>
                  <w:r>
                    <w:rPr>
                      <w:lang w:eastAsia="zh-CN"/>
                    </w:rPr>
                    <w:t>/</w:t>
                  </w:r>
                </w:p>
              </w:tc>
              <w:tc>
                <w:tcPr>
                  <w:tcW w:w="1107" w:type="pct"/>
                  <w:vAlign w:val="center"/>
                </w:tcPr>
                <w:p>
                  <w:pPr>
                    <w:pStyle w:val="67"/>
                    <w:rPr>
                      <w:lang w:eastAsia="zh-CN"/>
                    </w:rPr>
                  </w:pPr>
                  <w:r>
                    <w:rPr>
                      <w:lang w:eastAsia="zh-CN"/>
                    </w:rPr>
                    <w:t>/</w:t>
                  </w:r>
                </w:p>
              </w:tc>
              <w:tc>
                <w:tcPr>
                  <w:tcW w:w="438" w:type="pct"/>
                </w:tcPr>
                <w:p>
                  <w:pPr>
                    <w:pStyle w:val="67"/>
                    <w:rPr>
                      <w:lang w:eastAsia="zh-CN"/>
                    </w:rPr>
                  </w:pPr>
                  <w:r>
                    <w:rPr>
                      <w:rFonts w:hint="eastAsia"/>
                      <w:lang w:eastAsia="zh-CN"/>
                    </w:rPr>
                    <w:t>0</w:t>
                  </w:r>
                </w:p>
              </w:tc>
              <w:tc>
                <w:tcPr>
                  <w:tcW w:w="1187" w:type="pct"/>
                  <w:vAlign w:val="center"/>
                </w:tcPr>
                <w:p>
                  <w:pPr>
                    <w:pStyle w:val="67"/>
                    <w:rPr>
                      <w:lang w:eastAsia="zh-CN"/>
                    </w:rPr>
                  </w:pPr>
                  <w:r>
                    <w:rPr>
                      <w:rFonts w:hint="eastAsia"/>
                      <w:lang w:eastAsia="zh-CN"/>
                    </w:rPr>
                    <w:t>/</w:t>
                  </w:r>
                </w:p>
              </w:tc>
              <w:tc>
                <w:tcPr>
                  <w:tcW w:w="644" w:type="pct"/>
                  <w:vAlign w:val="center"/>
                </w:tcPr>
                <w:p>
                  <w:pPr>
                    <w:pStyle w:val="67"/>
                    <w:rPr>
                      <w:lang w:eastAsia="zh-CN"/>
                    </w:rPr>
                  </w:pPr>
                  <w:r>
                    <w:rPr>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6" w:type="pct"/>
                  <w:vAlign w:val="center"/>
                </w:tcPr>
                <w:p>
                  <w:pPr>
                    <w:pStyle w:val="67"/>
                    <w:rPr>
                      <w:lang w:eastAsia="zh-CN"/>
                    </w:rPr>
                  </w:pPr>
                  <w:r>
                    <w:rPr>
                      <w:lang w:eastAsia="zh-CN"/>
                    </w:rPr>
                    <w:t>3</w:t>
                  </w:r>
                </w:p>
              </w:tc>
              <w:tc>
                <w:tcPr>
                  <w:tcW w:w="802" w:type="pct"/>
                  <w:vAlign w:val="center"/>
                </w:tcPr>
                <w:p>
                  <w:pPr>
                    <w:pStyle w:val="67"/>
                    <w:rPr>
                      <w:lang w:eastAsia="zh-CN"/>
                    </w:rPr>
                  </w:pPr>
                  <w:r>
                    <w:rPr>
                      <w:lang w:eastAsia="zh-CN"/>
                    </w:rPr>
                    <w:t>传输机皮带</w:t>
                  </w:r>
                </w:p>
              </w:tc>
              <w:tc>
                <w:tcPr>
                  <w:tcW w:w="565" w:type="pct"/>
                  <w:shd w:val="clear" w:color="auto" w:fill="auto"/>
                  <w:vAlign w:val="center"/>
                </w:tcPr>
                <w:p>
                  <w:pPr>
                    <w:pStyle w:val="67"/>
                    <w:rPr>
                      <w:lang w:eastAsia="zh-CN"/>
                    </w:rPr>
                  </w:pPr>
                  <w:r>
                    <w:rPr>
                      <w:lang w:eastAsia="zh-CN"/>
                    </w:rPr>
                    <w:t>2套</w:t>
                  </w:r>
                </w:p>
              </w:tc>
              <w:tc>
                <w:tcPr>
                  <w:tcW w:w="1107" w:type="pct"/>
                  <w:vAlign w:val="center"/>
                </w:tcPr>
                <w:p>
                  <w:pPr>
                    <w:pStyle w:val="67"/>
                    <w:rPr>
                      <w:lang w:eastAsia="zh-CN"/>
                    </w:rPr>
                  </w:pPr>
                  <w:r>
                    <w:rPr>
                      <w:lang w:eastAsia="zh-CN"/>
                    </w:rPr>
                    <w:t>80*2000cm</w:t>
                  </w:r>
                </w:p>
              </w:tc>
              <w:tc>
                <w:tcPr>
                  <w:tcW w:w="438" w:type="pct"/>
                </w:tcPr>
                <w:p>
                  <w:pPr>
                    <w:pStyle w:val="67"/>
                    <w:rPr>
                      <w:lang w:eastAsia="zh-CN"/>
                    </w:rPr>
                  </w:pPr>
                  <w:r>
                    <w:rPr>
                      <w:rFonts w:hint="eastAsia"/>
                      <w:lang w:eastAsia="zh-CN"/>
                    </w:rPr>
                    <w:t>0</w:t>
                  </w:r>
                </w:p>
              </w:tc>
              <w:tc>
                <w:tcPr>
                  <w:tcW w:w="1187" w:type="pct"/>
                  <w:vAlign w:val="center"/>
                </w:tcPr>
                <w:p>
                  <w:pPr>
                    <w:pStyle w:val="67"/>
                    <w:rPr>
                      <w:lang w:eastAsia="zh-CN"/>
                    </w:rPr>
                  </w:pPr>
                  <w:r>
                    <w:rPr>
                      <w:rFonts w:hint="eastAsia"/>
                      <w:lang w:eastAsia="zh-CN"/>
                    </w:rPr>
                    <w:t>/</w:t>
                  </w:r>
                </w:p>
              </w:tc>
              <w:tc>
                <w:tcPr>
                  <w:tcW w:w="644" w:type="pct"/>
                  <w:vAlign w:val="center"/>
                </w:tcPr>
                <w:p>
                  <w:pPr>
                    <w:pStyle w:val="67"/>
                    <w:rPr>
                      <w:lang w:eastAsia="zh-CN"/>
                    </w:rPr>
                  </w:pPr>
                  <w:r>
                    <w:rPr>
                      <w:lang w:eastAsia="zh-CN"/>
                    </w:rPr>
                    <w:t>2套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6" w:type="pct"/>
                  <w:vAlign w:val="center"/>
                </w:tcPr>
                <w:p>
                  <w:pPr>
                    <w:pStyle w:val="67"/>
                    <w:rPr>
                      <w:lang w:eastAsia="zh-CN"/>
                    </w:rPr>
                  </w:pPr>
                  <w:r>
                    <w:rPr>
                      <w:lang w:eastAsia="zh-CN"/>
                    </w:rPr>
                    <w:t>4</w:t>
                  </w:r>
                </w:p>
              </w:tc>
              <w:tc>
                <w:tcPr>
                  <w:tcW w:w="802" w:type="pct"/>
                  <w:vAlign w:val="center"/>
                </w:tcPr>
                <w:p>
                  <w:pPr>
                    <w:pStyle w:val="67"/>
                    <w:rPr>
                      <w:lang w:eastAsia="zh-CN"/>
                    </w:rPr>
                  </w:pPr>
                  <w:r>
                    <w:rPr>
                      <w:lang w:eastAsia="zh-CN"/>
                    </w:rPr>
                    <w:t>螺旋绞笼</w:t>
                  </w:r>
                </w:p>
              </w:tc>
              <w:tc>
                <w:tcPr>
                  <w:tcW w:w="565" w:type="pct"/>
                  <w:shd w:val="clear" w:color="auto" w:fill="auto"/>
                  <w:vAlign w:val="center"/>
                </w:tcPr>
                <w:p>
                  <w:pPr>
                    <w:pStyle w:val="67"/>
                    <w:rPr>
                      <w:lang w:eastAsia="zh-CN"/>
                    </w:rPr>
                  </w:pPr>
                  <w:r>
                    <w:rPr>
                      <w:lang w:eastAsia="zh-CN"/>
                    </w:rPr>
                    <w:t>2台</w:t>
                  </w:r>
                </w:p>
              </w:tc>
              <w:tc>
                <w:tcPr>
                  <w:tcW w:w="1107" w:type="pct"/>
                  <w:vAlign w:val="center"/>
                </w:tcPr>
                <w:p>
                  <w:pPr>
                    <w:pStyle w:val="67"/>
                    <w:rPr>
                      <w:lang w:eastAsia="zh-CN"/>
                    </w:rPr>
                  </w:pPr>
                  <w:r>
                    <w:rPr>
                      <w:lang w:eastAsia="zh-CN"/>
                    </w:rPr>
                    <w:t>1100*150cm</w:t>
                  </w:r>
                </w:p>
              </w:tc>
              <w:tc>
                <w:tcPr>
                  <w:tcW w:w="438" w:type="pct"/>
                </w:tcPr>
                <w:p>
                  <w:pPr>
                    <w:pStyle w:val="67"/>
                    <w:rPr>
                      <w:lang w:eastAsia="zh-CN"/>
                    </w:rPr>
                  </w:pPr>
                  <w:r>
                    <w:rPr>
                      <w:rFonts w:hint="eastAsia"/>
                      <w:lang w:eastAsia="zh-CN"/>
                    </w:rPr>
                    <w:t>0</w:t>
                  </w:r>
                </w:p>
              </w:tc>
              <w:tc>
                <w:tcPr>
                  <w:tcW w:w="1187" w:type="pct"/>
                  <w:vAlign w:val="center"/>
                </w:tcPr>
                <w:p>
                  <w:pPr>
                    <w:pStyle w:val="67"/>
                    <w:rPr>
                      <w:lang w:eastAsia="zh-CN"/>
                    </w:rPr>
                  </w:pPr>
                  <w:r>
                    <w:rPr>
                      <w:rFonts w:hint="eastAsia"/>
                      <w:lang w:eastAsia="zh-CN"/>
                    </w:rPr>
                    <w:t>/</w:t>
                  </w:r>
                </w:p>
              </w:tc>
              <w:tc>
                <w:tcPr>
                  <w:tcW w:w="644" w:type="pct"/>
                  <w:vAlign w:val="center"/>
                </w:tcPr>
                <w:p>
                  <w:pPr>
                    <w:pStyle w:val="67"/>
                    <w:rPr>
                      <w:lang w:eastAsia="zh-CN"/>
                    </w:rPr>
                  </w:pPr>
                  <w:r>
                    <w:rPr>
                      <w:lang w:eastAsia="zh-CN"/>
                    </w:rPr>
                    <w:t>2台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6" w:type="pct"/>
                  <w:vAlign w:val="center"/>
                </w:tcPr>
                <w:p>
                  <w:pPr>
                    <w:pStyle w:val="67"/>
                    <w:rPr>
                      <w:lang w:eastAsia="zh-CN"/>
                    </w:rPr>
                  </w:pPr>
                  <w:r>
                    <w:rPr>
                      <w:lang w:eastAsia="zh-CN"/>
                    </w:rPr>
                    <w:t>5</w:t>
                  </w:r>
                </w:p>
              </w:tc>
              <w:tc>
                <w:tcPr>
                  <w:tcW w:w="802" w:type="pct"/>
                  <w:vAlign w:val="center"/>
                </w:tcPr>
                <w:p>
                  <w:pPr>
                    <w:pStyle w:val="67"/>
                    <w:rPr>
                      <w:lang w:eastAsia="zh-CN"/>
                    </w:rPr>
                  </w:pPr>
                  <w:r>
                    <w:rPr>
                      <w:lang w:eastAsia="zh-CN"/>
                    </w:rPr>
                    <w:t>装载机</w:t>
                  </w:r>
                </w:p>
              </w:tc>
              <w:tc>
                <w:tcPr>
                  <w:tcW w:w="565" w:type="pct"/>
                  <w:shd w:val="clear" w:color="auto" w:fill="auto"/>
                  <w:vAlign w:val="center"/>
                </w:tcPr>
                <w:p>
                  <w:pPr>
                    <w:pStyle w:val="67"/>
                    <w:rPr>
                      <w:lang w:eastAsia="zh-CN"/>
                    </w:rPr>
                  </w:pPr>
                  <w:r>
                    <w:rPr>
                      <w:lang w:eastAsia="zh-CN"/>
                    </w:rPr>
                    <w:t>2台</w:t>
                  </w:r>
                </w:p>
              </w:tc>
              <w:tc>
                <w:tcPr>
                  <w:tcW w:w="1107" w:type="pct"/>
                  <w:vAlign w:val="center"/>
                </w:tcPr>
                <w:p>
                  <w:pPr>
                    <w:pStyle w:val="67"/>
                    <w:rPr>
                      <w:lang w:eastAsia="zh-CN"/>
                    </w:rPr>
                  </w:pPr>
                  <w:r>
                    <w:rPr>
                      <w:lang w:eastAsia="zh-CN"/>
                    </w:rPr>
                    <w:t>50型</w:t>
                  </w:r>
                </w:p>
              </w:tc>
              <w:tc>
                <w:tcPr>
                  <w:tcW w:w="438" w:type="pct"/>
                </w:tcPr>
                <w:p>
                  <w:pPr>
                    <w:pStyle w:val="67"/>
                    <w:rPr>
                      <w:lang w:eastAsia="zh-CN"/>
                    </w:rPr>
                  </w:pPr>
                  <w:r>
                    <w:rPr>
                      <w:rFonts w:hint="eastAsia"/>
                      <w:lang w:eastAsia="zh-CN"/>
                    </w:rPr>
                    <w:t>0</w:t>
                  </w:r>
                </w:p>
              </w:tc>
              <w:tc>
                <w:tcPr>
                  <w:tcW w:w="1187" w:type="pct"/>
                  <w:vAlign w:val="center"/>
                </w:tcPr>
                <w:p>
                  <w:pPr>
                    <w:pStyle w:val="67"/>
                    <w:rPr>
                      <w:lang w:eastAsia="zh-CN"/>
                    </w:rPr>
                  </w:pPr>
                  <w:r>
                    <w:rPr>
                      <w:rFonts w:hint="eastAsia"/>
                      <w:lang w:eastAsia="zh-CN"/>
                    </w:rPr>
                    <w:t>/</w:t>
                  </w:r>
                </w:p>
              </w:tc>
              <w:tc>
                <w:tcPr>
                  <w:tcW w:w="644" w:type="pct"/>
                  <w:vAlign w:val="center"/>
                </w:tcPr>
                <w:p>
                  <w:pPr>
                    <w:pStyle w:val="67"/>
                    <w:rPr>
                      <w:lang w:eastAsia="zh-CN"/>
                    </w:rPr>
                  </w:pPr>
                  <w:r>
                    <w:rPr>
                      <w:lang w:eastAsia="zh-CN"/>
                    </w:rPr>
                    <w:t>2台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6" w:type="pct"/>
                  <w:vAlign w:val="center"/>
                </w:tcPr>
                <w:p>
                  <w:pPr>
                    <w:pStyle w:val="67"/>
                    <w:rPr>
                      <w:lang w:eastAsia="zh-CN"/>
                    </w:rPr>
                  </w:pPr>
                  <w:r>
                    <w:rPr>
                      <w:lang w:eastAsia="zh-CN"/>
                    </w:rPr>
                    <w:t>6</w:t>
                  </w:r>
                </w:p>
              </w:tc>
              <w:tc>
                <w:tcPr>
                  <w:tcW w:w="802" w:type="pct"/>
                  <w:vAlign w:val="center"/>
                </w:tcPr>
                <w:p>
                  <w:pPr>
                    <w:pStyle w:val="67"/>
                    <w:rPr>
                      <w:lang w:eastAsia="zh-CN"/>
                    </w:rPr>
                  </w:pPr>
                  <w:r>
                    <w:rPr>
                      <w:lang w:eastAsia="zh-CN"/>
                    </w:rPr>
                    <w:t>旋流分离器</w:t>
                  </w:r>
                </w:p>
              </w:tc>
              <w:tc>
                <w:tcPr>
                  <w:tcW w:w="565" w:type="pct"/>
                  <w:shd w:val="clear" w:color="auto" w:fill="auto"/>
                  <w:vAlign w:val="center"/>
                </w:tcPr>
                <w:p>
                  <w:pPr>
                    <w:pStyle w:val="67"/>
                    <w:rPr>
                      <w:lang w:eastAsia="zh-CN"/>
                    </w:rPr>
                  </w:pPr>
                  <w:r>
                    <w:rPr>
                      <w:lang w:eastAsia="zh-CN"/>
                    </w:rPr>
                    <w:t>40组</w:t>
                  </w:r>
                </w:p>
              </w:tc>
              <w:tc>
                <w:tcPr>
                  <w:tcW w:w="1107" w:type="pct"/>
                  <w:vAlign w:val="center"/>
                </w:tcPr>
                <w:p>
                  <w:pPr>
                    <w:pStyle w:val="67"/>
                    <w:rPr>
                      <w:lang w:eastAsia="zh-CN"/>
                    </w:rPr>
                  </w:pPr>
                  <w:r>
                    <w:rPr>
                      <w:lang w:eastAsia="zh-CN"/>
                    </w:rPr>
                    <w:t>/</w:t>
                  </w:r>
                </w:p>
              </w:tc>
              <w:tc>
                <w:tcPr>
                  <w:tcW w:w="438" w:type="pct"/>
                </w:tcPr>
                <w:p>
                  <w:pPr>
                    <w:pStyle w:val="67"/>
                    <w:rPr>
                      <w:lang w:eastAsia="zh-CN"/>
                    </w:rPr>
                  </w:pPr>
                  <w:r>
                    <w:rPr>
                      <w:rFonts w:hint="eastAsia"/>
                      <w:lang w:eastAsia="zh-CN"/>
                    </w:rPr>
                    <w:t>0</w:t>
                  </w:r>
                </w:p>
              </w:tc>
              <w:tc>
                <w:tcPr>
                  <w:tcW w:w="1187" w:type="pct"/>
                  <w:vAlign w:val="center"/>
                </w:tcPr>
                <w:p>
                  <w:pPr>
                    <w:pStyle w:val="67"/>
                    <w:rPr>
                      <w:lang w:eastAsia="zh-CN"/>
                    </w:rPr>
                  </w:pPr>
                  <w:r>
                    <w:rPr>
                      <w:rFonts w:hint="eastAsia"/>
                      <w:lang w:eastAsia="zh-CN"/>
                    </w:rPr>
                    <w:t>/</w:t>
                  </w:r>
                </w:p>
              </w:tc>
              <w:tc>
                <w:tcPr>
                  <w:tcW w:w="644" w:type="pct"/>
                  <w:vAlign w:val="center"/>
                </w:tcPr>
                <w:p>
                  <w:pPr>
                    <w:pStyle w:val="67"/>
                    <w:rPr>
                      <w:lang w:eastAsia="zh-CN"/>
                    </w:rPr>
                  </w:pPr>
                  <w:r>
                    <w:rPr>
                      <w:lang w:eastAsia="zh-CN"/>
                    </w:rPr>
                    <w:t>40组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6" w:type="pct"/>
                  <w:vAlign w:val="center"/>
                </w:tcPr>
                <w:p>
                  <w:pPr>
                    <w:pStyle w:val="67"/>
                    <w:rPr>
                      <w:lang w:eastAsia="zh-CN"/>
                    </w:rPr>
                  </w:pPr>
                  <w:r>
                    <w:rPr>
                      <w:lang w:eastAsia="zh-CN"/>
                    </w:rPr>
                    <w:t>7</w:t>
                  </w:r>
                </w:p>
              </w:tc>
              <w:tc>
                <w:tcPr>
                  <w:tcW w:w="802" w:type="pct"/>
                  <w:vAlign w:val="center"/>
                </w:tcPr>
                <w:p>
                  <w:pPr>
                    <w:pStyle w:val="67"/>
                    <w:rPr>
                      <w:lang w:eastAsia="zh-CN"/>
                    </w:rPr>
                  </w:pPr>
                  <w:r>
                    <w:rPr>
                      <w:lang w:eastAsia="zh-CN"/>
                    </w:rPr>
                    <w:t>脱水振动筛</w:t>
                  </w:r>
                </w:p>
              </w:tc>
              <w:tc>
                <w:tcPr>
                  <w:tcW w:w="565" w:type="pct"/>
                  <w:shd w:val="clear" w:color="auto" w:fill="auto"/>
                  <w:vAlign w:val="center"/>
                </w:tcPr>
                <w:p>
                  <w:pPr>
                    <w:pStyle w:val="67"/>
                    <w:rPr>
                      <w:lang w:eastAsia="zh-CN"/>
                    </w:rPr>
                  </w:pPr>
                  <w:r>
                    <w:rPr>
                      <w:lang w:eastAsia="zh-CN"/>
                    </w:rPr>
                    <w:t>16套</w:t>
                  </w:r>
                </w:p>
              </w:tc>
              <w:tc>
                <w:tcPr>
                  <w:tcW w:w="1107" w:type="pct"/>
                  <w:vAlign w:val="center"/>
                </w:tcPr>
                <w:p>
                  <w:pPr>
                    <w:pStyle w:val="67"/>
                    <w:rPr>
                      <w:lang w:eastAsia="zh-CN"/>
                    </w:rPr>
                  </w:pPr>
                  <w:r>
                    <w:rPr>
                      <w:lang w:eastAsia="zh-CN"/>
                    </w:rPr>
                    <w:t>150*500cm</w:t>
                  </w:r>
                </w:p>
              </w:tc>
              <w:tc>
                <w:tcPr>
                  <w:tcW w:w="438" w:type="pct"/>
                </w:tcPr>
                <w:p>
                  <w:pPr>
                    <w:pStyle w:val="67"/>
                    <w:rPr>
                      <w:lang w:eastAsia="zh-CN"/>
                    </w:rPr>
                  </w:pPr>
                  <w:r>
                    <w:rPr>
                      <w:rFonts w:hint="eastAsia"/>
                      <w:lang w:eastAsia="zh-CN"/>
                    </w:rPr>
                    <w:t>0</w:t>
                  </w:r>
                </w:p>
              </w:tc>
              <w:tc>
                <w:tcPr>
                  <w:tcW w:w="1187" w:type="pct"/>
                  <w:vAlign w:val="center"/>
                </w:tcPr>
                <w:p>
                  <w:pPr>
                    <w:pStyle w:val="67"/>
                    <w:rPr>
                      <w:lang w:eastAsia="zh-CN"/>
                    </w:rPr>
                  </w:pPr>
                  <w:r>
                    <w:rPr>
                      <w:rFonts w:hint="eastAsia"/>
                      <w:lang w:eastAsia="zh-CN"/>
                    </w:rPr>
                    <w:t>/</w:t>
                  </w:r>
                </w:p>
              </w:tc>
              <w:tc>
                <w:tcPr>
                  <w:tcW w:w="644" w:type="pct"/>
                  <w:vAlign w:val="center"/>
                </w:tcPr>
                <w:p>
                  <w:pPr>
                    <w:pStyle w:val="67"/>
                    <w:rPr>
                      <w:lang w:eastAsia="zh-CN"/>
                    </w:rPr>
                  </w:pPr>
                  <w:r>
                    <w:rPr>
                      <w:lang w:eastAsia="zh-CN"/>
                    </w:rPr>
                    <w:t>16套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6" w:type="pct"/>
                  <w:vAlign w:val="center"/>
                </w:tcPr>
                <w:p>
                  <w:pPr>
                    <w:pStyle w:val="67"/>
                    <w:rPr>
                      <w:lang w:eastAsia="zh-CN"/>
                    </w:rPr>
                  </w:pPr>
                  <w:r>
                    <w:rPr>
                      <w:lang w:eastAsia="zh-CN"/>
                    </w:rPr>
                    <w:t>8</w:t>
                  </w:r>
                </w:p>
              </w:tc>
              <w:tc>
                <w:tcPr>
                  <w:tcW w:w="802" w:type="pct"/>
                  <w:vAlign w:val="center"/>
                </w:tcPr>
                <w:p>
                  <w:pPr>
                    <w:pStyle w:val="67"/>
                    <w:rPr>
                      <w:lang w:eastAsia="zh-CN"/>
                    </w:rPr>
                  </w:pPr>
                  <w:r>
                    <w:rPr>
                      <w:lang w:eastAsia="zh-CN"/>
                    </w:rPr>
                    <w:t>压滤给料泵</w:t>
                  </w:r>
                </w:p>
              </w:tc>
              <w:tc>
                <w:tcPr>
                  <w:tcW w:w="565" w:type="pct"/>
                  <w:shd w:val="clear" w:color="auto" w:fill="auto"/>
                  <w:vAlign w:val="center"/>
                </w:tcPr>
                <w:p>
                  <w:pPr>
                    <w:pStyle w:val="67"/>
                    <w:rPr>
                      <w:lang w:eastAsia="zh-CN"/>
                    </w:rPr>
                  </w:pPr>
                  <w:r>
                    <w:rPr>
                      <w:lang w:eastAsia="zh-CN"/>
                    </w:rPr>
                    <w:t>3台</w:t>
                  </w:r>
                </w:p>
              </w:tc>
              <w:tc>
                <w:tcPr>
                  <w:tcW w:w="1107" w:type="pct"/>
                  <w:vAlign w:val="center"/>
                </w:tcPr>
                <w:p>
                  <w:pPr>
                    <w:pStyle w:val="67"/>
                    <w:rPr>
                      <w:lang w:eastAsia="zh-CN"/>
                    </w:rPr>
                  </w:pPr>
                  <w:r>
                    <w:rPr>
                      <w:lang w:eastAsia="zh-CN"/>
                    </w:rPr>
                    <w:t>30型/45</w:t>
                  </w:r>
                </w:p>
              </w:tc>
              <w:tc>
                <w:tcPr>
                  <w:tcW w:w="438" w:type="pct"/>
                </w:tcPr>
                <w:p>
                  <w:pPr>
                    <w:pStyle w:val="67"/>
                    <w:rPr>
                      <w:lang w:eastAsia="zh-CN"/>
                    </w:rPr>
                  </w:pPr>
                  <w:r>
                    <w:rPr>
                      <w:rFonts w:hint="eastAsia"/>
                      <w:lang w:eastAsia="zh-CN"/>
                    </w:rPr>
                    <w:t>0</w:t>
                  </w:r>
                </w:p>
              </w:tc>
              <w:tc>
                <w:tcPr>
                  <w:tcW w:w="1187" w:type="pct"/>
                  <w:vAlign w:val="center"/>
                </w:tcPr>
                <w:p>
                  <w:pPr>
                    <w:pStyle w:val="67"/>
                    <w:rPr>
                      <w:lang w:eastAsia="zh-CN"/>
                    </w:rPr>
                  </w:pPr>
                  <w:r>
                    <w:rPr>
                      <w:rFonts w:hint="eastAsia"/>
                      <w:lang w:eastAsia="zh-CN"/>
                    </w:rPr>
                    <w:t>/</w:t>
                  </w:r>
                </w:p>
              </w:tc>
              <w:tc>
                <w:tcPr>
                  <w:tcW w:w="644" w:type="pct"/>
                  <w:vAlign w:val="center"/>
                </w:tcPr>
                <w:p>
                  <w:pPr>
                    <w:pStyle w:val="67"/>
                    <w:rPr>
                      <w:lang w:eastAsia="zh-CN"/>
                    </w:rPr>
                  </w:pPr>
                  <w:r>
                    <w:rPr>
                      <w:lang w:eastAsia="zh-CN"/>
                    </w:rPr>
                    <w:t>3</w:t>
                  </w:r>
                  <w:bookmarkStart w:id="138" w:name="OLE_LINK30"/>
                  <w:r>
                    <w:rPr>
                      <w:lang w:eastAsia="zh-CN"/>
                    </w:rPr>
                    <w:t>台</w:t>
                  </w:r>
                  <w:bookmarkEnd w:id="138"/>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6" w:type="pct"/>
                  <w:vAlign w:val="center"/>
                </w:tcPr>
                <w:p>
                  <w:pPr>
                    <w:pStyle w:val="67"/>
                    <w:rPr>
                      <w:lang w:eastAsia="zh-CN"/>
                    </w:rPr>
                  </w:pPr>
                  <w:r>
                    <w:rPr>
                      <w:lang w:eastAsia="zh-CN"/>
                    </w:rPr>
                    <w:t>9</w:t>
                  </w:r>
                </w:p>
              </w:tc>
              <w:tc>
                <w:tcPr>
                  <w:tcW w:w="802" w:type="pct"/>
                  <w:vAlign w:val="center"/>
                </w:tcPr>
                <w:p>
                  <w:pPr>
                    <w:pStyle w:val="67"/>
                    <w:rPr>
                      <w:lang w:eastAsia="zh-CN"/>
                    </w:rPr>
                  </w:pPr>
                  <w:r>
                    <w:rPr>
                      <w:lang w:eastAsia="zh-CN"/>
                    </w:rPr>
                    <w:t>压滤机</w:t>
                  </w:r>
                </w:p>
              </w:tc>
              <w:tc>
                <w:tcPr>
                  <w:tcW w:w="565" w:type="pct"/>
                  <w:vAlign w:val="center"/>
                </w:tcPr>
                <w:p>
                  <w:pPr>
                    <w:pStyle w:val="67"/>
                    <w:rPr>
                      <w:lang w:eastAsia="zh-CN"/>
                    </w:rPr>
                  </w:pPr>
                  <w:r>
                    <w:rPr>
                      <w:lang w:eastAsia="zh-CN"/>
                    </w:rPr>
                    <w:t>4台</w:t>
                  </w:r>
                </w:p>
              </w:tc>
              <w:tc>
                <w:tcPr>
                  <w:tcW w:w="1107" w:type="pct"/>
                  <w:vAlign w:val="center"/>
                </w:tcPr>
                <w:p>
                  <w:pPr>
                    <w:pStyle w:val="67"/>
                    <w:rPr>
                      <w:lang w:eastAsia="zh-CN"/>
                    </w:rPr>
                  </w:pPr>
                  <w:r>
                    <w:rPr>
                      <w:lang w:eastAsia="zh-CN"/>
                    </w:rPr>
                    <w:t>250m</w:t>
                  </w:r>
                  <w:r>
                    <w:rPr>
                      <w:vertAlign w:val="superscript"/>
                      <w:lang w:eastAsia="zh-CN"/>
                    </w:rPr>
                    <w:t>2</w:t>
                  </w:r>
                </w:p>
              </w:tc>
              <w:tc>
                <w:tcPr>
                  <w:tcW w:w="438" w:type="pct"/>
                </w:tcPr>
                <w:p>
                  <w:pPr>
                    <w:pStyle w:val="67"/>
                    <w:rPr>
                      <w:lang w:eastAsia="zh-CN"/>
                    </w:rPr>
                  </w:pPr>
                  <w:r>
                    <w:rPr>
                      <w:rFonts w:hint="eastAsia"/>
                      <w:lang w:eastAsia="zh-CN"/>
                    </w:rPr>
                    <w:t>0</w:t>
                  </w:r>
                </w:p>
              </w:tc>
              <w:tc>
                <w:tcPr>
                  <w:tcW w:w="1187" w:type="pct"/>
                  <w:vAlign w:val="center"/>
                </w:tcPr>
                <w:p>
                  <w:pPr>
                    <w:pStyle w:val="67"/>
                    <w:rPr>
                      <w:lang w:eastAsia="zh-CN"/>
                    </w:rPr>
                  </w:pPr>
                  <w:r>
                    <w:rPr>
                      <w:rFonts w:hint="eastAsia"/>
                      <w:lang w:eastAsia="zh-CN"/>
                    </w:rPr>
                    <w:t>/</w:t>
                  </w:r>
                </w:p>
              </w:tc>
              <w:tc>
                <w:tcPr>
                  <w:tcW w:w="644" w:type="pct"/>
                  <w:vAlign w:val="center"/>
                </w:tcPr>
                <w:p>
                  <w:pPr>
                    <w:pStyle w:val="67"/>
                    <w:rPr>
                      <w:lang w:eastAsia="zh-CN"/>
                    </w:rPr>
                  </w:pPr>
                  <w:r>
                    <w:rPr>
                      <w:lang w:eastAsia="zh-CN"/>
                    </w:rPr>
                    <w:t>4台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6" w:type="pct"/>
                  <w:vAlign w:val="center"/>
                </w:tcPr>
                <w:p>
                  <w:pPr>
                    <w:pStyle w:val="67"/>
                    <w:rPr>
                      <w:lang w:eastAsia="zh-CN"/>
                    </w:rPr>
                  </w:pPr>
                  <w:r>
                    <w:rPr>
                      <w:lang w:eastAsia="zh-CN"/>
                    </w:rPr>
                    <w:t>10</w:t>
                  </w:r>
                </w:p>
              </w:tc>
              <w:tc>
                <w:tcPr>
                  <w:tcW w:w="802" w:type="pct"/>
                  <w:vAlign w:val="center"/>
                </w:tcPr>
                <w:p>
                  <w:pPr>
                    <w:pStyle w:val="67"/>
                    <w:rPr>
                      <w:lang w:eastAsia="zh-CN"/>
                    </w:rPr>
                  </w:pPr>
                  <w:r>
                    <w:rPr>
                      <w:lang w:eastAsia="zh-CN"/>
                    </w:rPr>
                    <w:t>循环水泵</w:t>
                  </w:r>
                </w:p>
              </w:tc>
              <w:tc>
                <w:tcPr>
                  <w:tcW w:w="565" w:type="pct"/>
                  <w:vAlign w:val="center"/>
                </w:tcPr>
                <w:p>
                  <w:pPr>
                    <w:pStyle w:val="67"/>
                    <w:rPr>
                      <w:lang w:eastAsia="zh-CN"/>
                    </w:rPr>
                  </w:pPr>
                  <w:r>
                    <w:rPr>
                      <w:lang w:eastAsia="zh-CN"/>
                    </w:rPr>
                    <w:t>6台</w:t>
                  </w:r>
                </w:p>
              </w:tc>
              <w:tc>
                <w:tcPr>
                  <w:tcW w:w="1107" w:type="pct"/>
                  <w:vAlign w:val="center"/>
                </w:tcPr>
                <w:p>
                  <w:pPr>
                    <w:pStyle w:val="67"/>
                    <w:rPr>
                      <w:lang w:eastAsia="zh-CN"/>
                    </w:rPr>
                  </w:pPr>
                  <w:r>
                    <w:rPr>
                      <w:lang w:eastAsia="zh-CN"/>
                    </w:rPr>
                    <w:t>30型/20</w:t>
                  </w:r>
                </w:p>
              </w:tc>
              <w:tc>
                <w:tcPr>
                  <w:tcW w:w="438" w:type="pct"/>
                </w:tcPr>
                <w:p>
                  <w:pPr>
                    <w:pStyle w:val="67"/>
                    <w:rPr>
                      <w:lang w:eastAsia="zh-CN"/>
                    </w:rPr>
                  </w:pPr>
                  <w:r>
                    <w:rPr>
                      <w:rFonts w:hint="eastAsia"/>
                      <w:lang w:eastAsia="zh-CN"/>
                    </w:rPr>
                    <w:t>0</w:t>
                  </w:r>
                </w:p>
              </w:tc>
              <w:tc>
                <w:tcPr>
                  <w:tcW w:w="1187" w:type="pct"/>
                  <w:vAlign w:val="center"/>
                </w:tcPr>
                <w:p>
                  <w:pPr>
                    <w:pStyle w:val="67"/>
                    <w:rPr>
                      <w:lang w:eastAsia="zh-CN"/>
                    </w:rPr>
                  </w:pPr>
                  <w:r>
                    <w:rPr>
                      <w:rFonts w:hint="eastAsia"/>
                      <w:lang w:eastAsia="zh-CN"/>
                    </w:rPr>
                    <w:t>/</w:t>
                  </w:r>
                </w:p>
              </w:tc>
              <w:tc>
                <w:tcPr>
                  <w:tcW w:w="644" w:type="pct"/>
                  <w:vAlign w:val="center"/>
                </w:tcPr>
                <w:p>
                  <w:pPr>
                    <w:pStyle w:val="67"/>
                    <w:rPr>
                      <w:lang w:eastAsia="zh-CN"/>
                    </w:rPr>
                  </w:pPr>
                  <w:r>
                    <w:rPr>
                      <w:lang w:eastAsia="zh-CN"/>
                    </w:rPr>
                    <w:t>6台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6" w:type="pct"/>
                  <w:vAlign w:val="center"/>
                </w:tcPr>
                <w:p>
                  <w:pPr>
                    <w:pStyle w:val="67"/>
                    <w:rPr>
                      <w:lang w:eastAsia="zh-CN"/>
                    </w:rPr>
                  </w:pPr>
                  <w:r>
                    <w:rPr>
                      <w:lang w:eastAsia="zh-CN"/>
                    </w:rPr>
                    <w:t>11</w:t>
                  </w:r>
                </w:p>
              </w:tc>
              <w:tc>
                <w:tcPr>
                  <w:tcW w:w="802" w:type="pct"/>
                  <w:vAlign w:val="center"/>
                </w:tcPr>
                <w:p>
                  <w:pPr>
                    <w:pStyle w:val="67"/>
                    <w:rPr>
                      <w:lang w:eastAsia="zh-CN"/>
                    </w:rPr>
                  </w:pPr>
                  <w:r>
                    <w:rPr>
                      <w:lang w:eastAsia="zh-CN"/>
                    </w:rPr>
                    <w:t>配料池</w:t>
                  </w:r>
                </w:p>
              </w:tc>
              <w:tc>
                <w:tcPr>
                  <w:tcW w:w="565" w:type="pct"/>
                  <w:vAlign w:val="center"/>
                </w:tcPr>
                <w:p>
                  <w:pPr>
                    <w:pStyle w:val="67"/>
                    <w:rPr>
                      <w:lang w:eastAsia="zh-CN"/>
                    </w:rPr>
                  </w:pPr>
                  <w:r>
                    <w:rPr>
                      <w:lang w:eastAsia="zh-CN"/>
                    </w:rPr>
                    <w:t>128m</w:t>
                  </w:r>
                  <w:r>
                    <w:rPr>
                      <w:vertAlign w:val="superscript"/>
                      <w:lang w:eastAsia="zh-CN"/>
                    </w:rPr>
                    <w:t>3</w:t>
                  </w:r>
                </w:p>
              </w:tc>
              <w:tc>
                <w:tcPr>
                  <w:tcW w:w="1107" w:type="pct"/>
                  <w:vAlign w:val="center"/>
                </w:tcPr>
                <w:p>
                  <w:pPr>
                    <w:pStyle w:val="67"/>
                    <w:rPr>
                      <w:lang w:eastAsia="zh-CN"/>
                    </w:rPr>
                  </w:pPr>
                  <w:r>
                    <w:rPr>
                      <w:lang w:eastAsia="zh-CN"/>
                    </w:rPr>
                    <w:t>8 m *4 m *4m</w:t>
                  </w:r>
                </w:p>
              </w:tc>
              <w:tc>
                <w:tcPr>
                  <w:tcW w:w="438" w:type="pct"/>
                </w:tcPr>
                <w:p>
                  <w:pPr>
                    <w:pStyle w:val="67"/>
                    <w:rPr>
                      <w:lang w:eastAsia="zh-CN"/>
                    </w:rPr>
                  </w:pPr>
                  <w:r>
                    <w:rPr>
                      <w:rFonts w:hint="eastAsia"/>
                      <w:lang w:eastAsia="zh-CN"/>
                    </w:rPr>
                    <w:t>0</w:t>
                  </w:r>
                </w:p>
              </w:tc>
              <w:tc>
                <w:tcPr>
                  <w:tcW w:w="1187" w:type="pct"/>
                  <w:vAlign w:val="center"/>
                </w:tcPr>
                <w:p>
                  <w:pPr>
                    <w:pStyle w:val="67"/>
                    <w:rPr>
                      <w:lang w:eastAsia="zh-CN"/>
                    </w:rPr>
                  </w:pPr>
                  <w:r>
                    <w:rPr>
                      <w:rFonts w:hint="eastAsia"/>
                      <w:lang w:eastAsia="zh-CN"/>
                    </w:rPr>
                    <w:t>/</w:t>
                  </w:r>
                </w:p>
              </w:tc>
              <w:tc>
                <w:tcPr>
                  <w:tcW w:w="644" w:type="pct"/>
                </w:tcPr>
                <w:p>
                  <w:pPr>
                    <w:pStyle w:val="67"/>
                    <w:rPr>
                      <w:lang w:eastAsia="zh-CN"/>
                    </w:rPr>
                  </w:pPr>
                  <w:r>
                    <w:rPr>
                      <w:rFonts w:hint="eastAsia"/>
                      <w:lang w:eastAsia="zh-CN"/>
                    </w:rPr>
                    <w:t>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6" w:type="pct"/>
                  <w:vAlign w:val="center"/>
                </w:tcPr>
                <w:p>
                  <w:pPr>
                    <w:pStyle w:val="67"/>
                    <w:rPr>
                      <w:lang w:eastAsia="zh-CN"/>
                    </w:rPr>
                  </w:pPr>
                  <w:r>
                    <w:rPr>
                      <w:lang w:eastAsia="zh-CN"/>
                    </w:rPr>
                    <w:t>12</w:t>
                  </w:r>
                </w:p>
              </w:tc>
              <w:tc>
                <w:tcPr>
                  <w:tcW w:w="802" w:type="pct"/>
                  <w:vAlign w:val="center"/>
                </w:tcPr>
                <w:p>
                  <w:pPr>
                    <w:pStyle w:val="67"/>
                    <w:rPr>
                      <w:lang w:eastAsia="zh-CN"/>
                    </w:rPr>
                  </w:pPr>
                  <w:r>
                    <w:rPr>
                      <w:lang w:eastAsia="zh-CN"/>
                    </w:rPr>
                    <w:t>炭上升池</w:t>
                  </w:r>
                </w:p>
              </w:tc>
              <w:tc>
                <w:tcPr>
                  <w:tcW w:w="565" w:type="pct"/>
                  <w:vAlign w:val="center"/>
                </w:tcPr>
                <w:p>
                  <w:pPr>
                    <w:pStyle w:val="67"/>
                    <w:rPr>
                      <w:lang w:eastAsia="zh-CN"/>
                    </w:rPr>
                  </w:pPr>
                  <w:r>
                    <w:rPr>
                      <w:lang w:eastAsia="zh-CN"/>
                    </w:rPr>
                    <w:t>192m</w:t>
                  </w:r>
                  <w:r>
                    <w:rPr>
                      <w:vertAlign w:val="superscript"/>
                      <w:lang w:eastAsia="zh-CN"/>
                    </w:rPr>
                    <w:t>3</w:t>
                  </w:r>
                </w:p>
              </w:tc>
              <w:tc>
                <w:tcPr>
                  <w:tcW w:w="1107" w:type="pct"/>
                  <w:vAlign w:val="center"/>
                </w:tcPr>
                <w:p>
                  <w:pPr>
                    <w:pStyle w:val="67"/>
                    <w:rPr>
                      <w:lang w:eastAsia="zh-CN"/>
                    </w:rPr>
                  </w:pPr>
                  <w:r>
                    <w:rPr>
                      <w:lang w:eastAsia="zh-CN"/>
                    </w:rPr>
                    <w:t>16 m *3 m *4m</w:t>
                  </w:r>
                </w:p>
              </w:tc>
              <w:tc>
                <w:tcPr>
                  <w:tcW w:w="438" w:type="pct"/>
                </w:tcPr>
                <w:p>
                  <w:pPr>
                    <w:pStyle w:val="67"/>
                    <w:rPr>
                      <w:lang w:eastAsia="zh-CN"/>
                    </w:rPr>
                  </w:pPr>
                  <w:r>
                    <w:rPr>
                      <w:rFonts w:hint="eastAsia"/>
                      <w:lang w:eastAsia="zh-CN"/>
                    </w:rPr>
                    <w:t>0</w:t>
                  </w:r>
                </w:p>
              </w:tc>
              <w:tc>
                <w:tcPr>
                  <w:tcW w:w="1187" w:type="pct"/>
                  <w:vAlign w:val="center"/>
                </w:tcPr>
                <w:p>
                  <w:pPr>
                    <w:pStyle w:val="67"/>
                    <w:rPr>
                      <w:lang w:eastAsia="zh-CN"/>
                    </w:rPr>
                  </w:pPr>
                  <w:r>
                    <w:rPr>
                      <w:rFonts w:hint="eastAsia"/>
                      <w:lang w:eastAsia="zh-CN"/>
                    </w:rPr>
                    <w:t>/</w:t>
                  </w:r>
                </w:p>
              </w:tc>
              <w:tc>
                <w:tcPr>
                  <w:tcW w:w="644" w:type="pct"/>
                </w:tcPr>
                <w:p>
                  <w:pPr>
                    <w:pStyle w:val="67"/>
                    <w:rPr>
                      <w:lang w:eastAsia="zh-CN"/>
                    </w:rPr>
                  </w:pPr>
                  <w:r>
                    <w:rPr>
                      <w:rFonts w:hint="eastAsia"/>
                      <w:lang w:eastAsia="zh-CN"/>
                    </w:rPr>
                    <w:t>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6" w:type="pct"/>
                  <w:vAlign w:val="center"/>
                </w:tcPr>
                <w:p>
                  <w:pPr>
                    <w:pStyle w:val="67"/>
                    <w:rPr>
                      <w:lang w:eastAsia="zh-CN"/>
                    </w:rPr>
                  </w:pPr>
                  <w:r>
                    <w:rPr>
                      <w:lang w:eastAsia="zh-CN"/>
                    </w:rPr>
                    <w:t>13</w:t>
                  </w:r>
                </w:p>
              </w:tc>
              <w:tc>
                <w:tcPr>
                  <w:tcW w:w="802" w:type="pct"/>
                  <w:vAlign w:val="center"/>
                </w:tcPr>
                <w:p>
                  <w:pPr>
                    <w:pStyle w:val="67"/>
                    <w:rPr>
                      <w:lang w:eastAsia="zh-CN"/>
                    </w:rPr>
                  </w:pPr>
                  <w:r>
                    <w:rPr>
                      <w:lang w:eastAsia="zh-CN"/>
                    </w:rPr>
                    <w:t>循环池</w:t>
                  </w:r>
                </w:p>
              </w:tc>
              <w:tc>
                <w:tcPr>
                  <w:tcW w:w="565" w:type="pct"/>
                  <w:vAlign w:val="center"/>
                </w:tcPr>
                <w:p>
                  <w:pPr>
                    <w:pStyle w:val="67"/>
                    <w:rPr>
                      <w:lang w:eastAsia="zh-CN"/>
                    </w:rPr>
                  </w:pPr>
                  <w:r>
                    <w:rPr>
                      <w:lang w:eastAsia="zh-CN"/>
                    </w:rPr>
                    <w:t>800m</w:t>
                  </w:r>
                  <w:r>
                    <w:rPr>
                      <w:vertAlign w:val="superscript"/>
                      <w:lang w:eastAsia="zh-CN"/>
                    </w:rPr>
                    <w:t>3</w:t>
                  </w:r>
                </w:p>
              </w:tc>
              <w:tc>
                <w:tcPr>
                  <w:tcW w:w="1107" w:type="pct"/>
                  <w:vAlign w:val="center"/>
                </w:tcPr>
                <w:p>
                  <w:pPr>
                    <w:pStyle w:val="67"/>
                    <w:rPr>
                      <w:lang w:eastAsia="zh-CN"/>
                    </w:rPr>
                  </w:pPr>
                  <w:r>
                    <w:rPr>
                      <w:lang w:eastAsia="zh-CN"/>
                    </w:rPr>
                    <w:t>20m *10 m *4m</w:t>
                  </w:r>
                </w:p>
              </w:tc>
              <w:tc>
                <w:tcPr>
                  <w:tcW w:w="438" w:type="pct"/>
                </w:tcPr>
                <w:p>
                  <w:pPr>
                    <w:pStyle w:val="67"/>
                    <w:rPr>
                      <w:lang w:eastAsia="zh-CN"/>
                    </w:rPr>
                  </w:pPr>
                  <w:r>
                    <w:rPr>
                      <w:rFonts w:hint="eastAsia"/>
                      <w:lang w:eastAsia="zh-CN"/>
                    </w:rPr>
                    <w:t>0</w:t>
                  </w:r>
                </w:p>
              </w:tc>
              <w:tc>
                <w:tcPr>
                  <w:tcW w:w="1187" w:type="pct"/>
                  <w:vAlign w:val="center"/>
                </w:tcPr>
                <w:p>
                  <w:pPr>
                    <w:pStyle w:val="67"/>
                    <w:rPr>
                      <w:lang w:eastAsia="zh-CN"/>
                    </w:rPr>
                  </w:pPr>
                  <w:r>
                    <w:rPr>
                      <w:rFonts w:hint="eastAsia"/>
                      <w:lang w:eastAsia="zh-CN"/>
                    </w:rPr>
                    <w:t>/</w:t>
                  </w:r>
                </w:p>
              </w:tc>
              <w:tc>
                <w:tcPr>
                  <w:tcW w:w="644" w:type="pct"/>
                </w:tcPr>
                <w:p>
                  <w:pPr>
                    <w:pStyle w:val="67"/>
                    <w:rPr>
                      <w:lang w:eastAsia="zh-CN"/>
                    </w:rPr>
                  </w:pPr>
                  <w:r>
                    <w:rPr>
                      <w:rFonts w:hint="eastAsia"/>
                      <w:lang w:eastAsia="zh-CN"/>
                    </w:rPr>
                    <w:t>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6" w:type="pct"/>
                  <w:vAlign w:val="center"/>
                </w:tcPr>
                <w:p>
                  <w:pPr>
                    <w:pStyle w:val="67"/>
                    <w:rPr>
                      <w:lang w:eastAsia="zh-CN"/>
                    </w:rPr>
                  </w:pPr>
                  <w:r>
                    <w:rPr>
                      <w:lang w:eastAsia="zh-CN"/>
                    </w:rPr>
                    <w:t>14</w:t>
                  </w:r>
                </w:p>
              </w:tc>
              <w:tc>
                <w:tcPr>
                  <w:tcW w:w="802" w:type="pct"/>
                  <w:vAlign w:val="center"/>
                </w:tcPr>
                <w:p>
                  <w:pPr>
                    <w:pStyle w:val="67"/>
                    <w:rPr>
                      <w:lang w:eastAsia="zh-CN"/>
                    </w:rPr>
                  </w:pPr>
                  <w:r>
                    <w:rPr>
                      <w:lang w:eastAsia="zh-CN"/>
                    </w:rPr>
                    <w:t>浓缩池</w:t>
                  </w:r>
                </w:p>
              </w:tc>
              <w:tc>
                <w:tcPr>
                  <w:tcW w:w="565" w:type="pct"/>
                  <w:vAlign w:val="center"/>
                </w:tcPr>
                <w:p>
                  <w:pPr>
                    <w:pStyle w:val="67"/>
                    <w:rPr>
                      <w:lang w:eastAsia="zh-CN"/>
                    </w:rPr>
                  </w:pPr>
                  <w:r>
                    <w:rPr>
                      <w:lang w:eastAsia="zh-CN"/>
                    </w:rPr>
                    <w:t>3*300m</w:t>
                  </w:r>
                  <w:r>
                    <w:rPr>
                      <w:vertAlign w:val="superscript"/>
                      <w:lang w:eastAsia="zh-CN"/>
                    </w:rPr>
                    <w:t>3</w:t>
                  </w:r>
                </w:p>
              </w:tc>
              <w:tc>
                <w:tcPr>
                  <w:tcW w:w="1107" w:type="pct"/>
                  <w:vAlign w:val="center"/>
                </w:tcPr>
                <w:p>
                  <w:pPr>
                    <w:pStyle w:val="67"/>
                    <w:rPr>
                      <w:lang w:eastAsia="zh-CN"/>
                    </w:rPr>
                  </w:pPr>
                  <w:r>
                    <w:t>Φ</w:t>
                  </w:r>
                  <w:r>
                    <w:rPr>
                      <w:lang w:eastAsia="zh-CN"/>
                    </w:rPr>
                    <w:t>1000*400cm</w:t>
                  </w:r>
                </w:p>
              </w:tc>
              <w:tc>
                <w:tcPr>
                  <w:tcW w:w="438" w:type="pct"/>
                </w:tcPr>
                <w:p>
                  <w:pPr>
                    <w:pStyle w:val="67"/>
                    <w:rPr>
                      <w:lang w:eastAsia="zh-CN"/>
                    </w:rPr>
                  </w:pPr>
                  <w:r>
                    <w:rPr>
                      <w:rFonts w:hint="eastAsia"/>
                      <w:lang w:eastAsia="zh-CN"/>
                    </w:rPr>
                    <w:t>0</w:t>
                  </w:r>
                </w:p>
              </w:tc>
              <w:tc>
                <w:tcPr>
                  <w:tcW w:w="1187" w:type="pct"/>
                  <w:vAlign w:val="center"/>
                </w:tcPr>
                <w:p>
                  <w:pPr>
                    <w:pStyle w:val="67"/>
                    <w:rPr>
                      <w:lang w:eastAsia="zh-CN"/>
                    </w:rPr>
                  </w:pPr>
                  <w:r>
                    <w:rPr>
                      <w:rFonts w:hint="eastAsia"/>
                      <w:lang w:eastAsia="zh-CN"/>
                    </w:rPr>
                    <w:t>/</w:t>
                  </w:r>
                </w:p>
              </w:tc>
              <w:tc>
                <w:tcPr>
                  <w:tcW w:w="644" w:type="pct"/>
                </w:tcPr>
                <w:p>
                  <w:pPr>
                    <w:pStyle w:val="67"/>
                    <w:rPr>
                      <w:lang w:eastAsia="zh-CN"/>
                    </w:rPr>
                  </w:pPr>
                  <w:r>
                    <w:rPr>
                      <w:rFonts w:hint="eastAsia"/>
                      <w:lang w:eastAsia="zh-CN"/>
                    </w:rPr>
                    <w:t>3个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6" w:type="pct"/>
                  <w:vAlign w:val="center"/>
                </w:tcPr>
                <w:p>
                  <w:pPr>
                    <w:pStyle w:val="67"/>
                    <w:rPr>
                      <w:lang w:eastAsia="zh-CN"/>
                    </w:rPr>
                  </w:pPr>
                  <w:r>
                    <w:rPr>
                      <w:rFonts w:hint="eastAsia"/>
                      <w:lang w:eastAsia="zh-CN"/>
                    </w:rPr>
                    <w:t>1</w:t>
                  </w:r>
                  <w:r>
                    <w:rPr>
                      <w:lang w:eastAsia="zh-CN"/>
                    </w:rPr>
                    <w:t>5</w:t>
                  </w:r>
                </w:p>
              </w:tc>
              <w:tc>
                <w:tcPr>
                  <w:tcW w:w="802" w:type="pct"/>
                  <w:vAlign w:val="center"/>
                </w:tcPr>
                <w:p>
                  <w:pPr>
                    <w:pStyle w:val="67"/>
                    <w:rPr>
                      <w:lang w:eastAsia="zh-CN"/>
                    </w:rPr>
                  </w:pPr>
                  <w:r>
                    <w:rPr>
                      <w:rFonts w:hint="eastAsia"/>
                      <w:lang w:eastAsia="zh-CN"/>
                    </w:rPr>
                    <w:t>滚筒式烘干机</w:t>
                  </w:r>
                </w:p>
              </w:tc>
              <w:tc>
                <w:tcPr>
                  <w:tcW w:w="565" w:type="pct"/>
                  <w:vAlign w:val="center"/>
                </w:tcPr>
                <w:p>
                  <w:pPr>
                    <w:pStyle w:val="67"/>
                    <w:rPr>
                      <w:lang w:eastAsia="zh-CN"/>
                    </w:rPr>
                  </w:pPr>
                  <w:r>
                    <w:rPr>
                      <w:rFonts w:hint="eastAsia"/>
                      <w:lang w:eastAsia="zh-CN"/>
                    </w:rPr>
                    <w:t>2</w:t>
                  </w:r>
                </w:p>
              </w:tc>
              <w:tc>
                <w:tcPr>
                  <w:tcW w:w="1107" w:type="pct"/>
                  <w:vAlign w:val="center"/>
                </w:tcPr>
                <w:p>
                  <w:pPr>
                    <w:pStyle w:val="67"/>
                    <w:rPr>
                      <w:lang w:eastAsia="zh-CN"/>
                    </w:rPr>
                  </w:pPr>
                  <w:r>
                    <w:rPr>
                      <w:rFonts w:hint="eastAsia"/>
                      <w:lang w:eastAsia="zh-CN"/>
                    </w:rPr>
                    <w:t>45t/h，20m×DN1.8m</w:t>
                  </w:r>
                </w:p>
              </w:tc>
              <w:tc>
                <w:tcPr>
                  <w:tcW w:w="438" w:type="pct"/>
                </w:tcPr>
                <w:p>
                  <w:pPr>
                    <w:pStyle w:val="67"/>
                    <w:rPr>
                      <w:lang w:eastAsia="zh-CN"/>
                    </w:rPr>
                  </w:pPr>
                  <w:r>
                    <w:rPr>
                      <w:rFonts w:hint="eastAsia"/>
                      <w:lang w:eastAsia="zh-CN"/>
                    </w:rPr>
                    <w:t>0</w:t>
                  </w:r>
                </w:p>
              </w:tc>
              <w:tc>
                <w:tcPr>
                  <w:tcW w:w="1187" w:type="pct"/>
                  <w:vAlign w:val="center"/>
                </w:tcPr>
                <w:p>
                  <w:pPr>
                    <w:pStyle w:val="67"/>
                    <w:rPr>
                      <w:lang w:eastAsia="zh-CN"/>
                    </w:rPr>
                  </w:pPr>
                  <w:r>
                    <w:rPr>
                      <w:rFonts w:hint="eastAsia"/>
                      <w:lang w:eastAsia="zh-CN"/>
                    </w:rPr>
                    <w:t>/</w:t>
                  </w:r>
                </w:p>
              </w:tc>
              <w:tc>
                <w:tcPr>
                  <w:tcW w:w="644" w:type="pct"/>
                  <w:vAlign w:val="center"/>
                </w:tcPr>
                <w:p>
                  <w:pPr>
                    <w:pStyle w:val="67"/>
                    <w:rPr>
                      <w:lang w:eastAsia="zh-CN"/>
                    </w:rPr>
                  </w:pPr>
                  <w:r>
                    <w:rPr>
                      <w:rFonts w:hint="eastAsia"/>
                      <w:lang w:eastAsia="zh-CN"/>
                    </w:rPr>
                    <w:t>2</w:t>
                  </w:r>
                  <w:r>
                    <w:rPr>
                      <w:lang w:eastAsia="zh-CN"/>
                    </w:rP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6" w:type="pct"/>
                  <w:vAlign w:val="center"/>
                </w:tcPr>
                <w:p>
                  <w:pPr>
                    <w:pStyle w:val="67"/>
                    <w:rPr>
                      <w:lang w:eastAsia="zh-CN"/>
                    </w:rPr>
                  </w:pPr>
                  <w:r>
                    <w:rPr>
                      <w:rFonts w:hint="eastAsia"/>
                      <w:lang w:eastAsia="zh-CN"/>
                    </w:rPr>
                    <w:t>1</w:t>
                  </w:r>
                  <w:r>
                    <w:rPr>
                      <w:lang w:eastAsia="zh-CN"/>
                    </w:rPr>
                    <w:t>6</w:t>
                  </w:r>
                </w:p>
              </w:tc>
              <w:tc>
                <w:tcPr>
                  <w:tcW w:w="802" w:type="pct"/>
                  <w:vAlign w:val="center"/>
                </w:tcPr>
                <w:p>
                  <w:pPr>
                    <w:pStyle w:val="67"/>
                    <w:rPr>
                      <w:lang w:eastAsia="zh-CN"/>
                    </w:rPr>
                  </w:pPr>
                  <w:r>
                    <w:rPr>
                      <w:rFonts w:hint="eastAsia"/>
                      <w:lang w:eastAsia="zh-CN"/>
                    </w:rPr>
                    <w:t>振动式烘干机</w:t>
                  </w:r>
                </w:p>
              </w:tc>
              <w:tc>
                <w:tcPr>
                  <w:tcW w:w="565" w:type="pct"/>
                  <w:vAlign w:val="center"/>
                </w:tcPr>
                <w:p>
                  <w:pPr>
                    <w:pStyle w:val="67"/>
                    <w:rPr>
                      <w:lang w:eastAsia="zh-CN"/>
                    </w:rPr>
                  </w:pPr>
                  <w:r>
                    <w:rPr>
                      <w:rFonts w:hint="eastAsia"/>
                      <w:lang w:eastAsia="zh-CN"/>
                    </w:rPr>
                    <w:t>2</w:t>
                  </w:r>
                </w:p>
              </w:tc>
              <w:tc>
                <w:tcPr>
                  <w:tcW w:w="1107" w:type="pct"/>
                  <w:vAlign w:val="center"/>
                </w:tcPr>
                <w:p>
                  <w:pPr>
                    <w:pStyle w:val="67"/>
                    <w:rPr>
                      <w:lang w:eastAsia="zh-CN"/>
                    </w:rPr>
                  </w:pPr>
                  <w:r>
                    <w:rPr>
                      <w:rFonts w:hint="eastAsia"/>
                      <w:lang w:eastAsia="zh-CN"/>
                    </w:rPr>
                    <w:t>45t/h，24m×0.5m</w:t>
                  </w:r>
                </w:p>
              </w:tc>
              <w:tc>
                <w:tcPr>
                  <w:tcW w:w="438" w:type="pct"/>
                </w:tcPr>
                <w:p>
                  <w:pPr>
                    <w:pStyle w:val="67"/>
                    <w:rPr>
                      <w:lang w:eastAsia="zh-CN"/>
                    </w:rPr>
                  </w:pPr>
                  <w:r>
                    <w:rPr>
                      <w:rFonts w:hint="eastAsia"/>
                      <w:lang w:eastAsia="zh-CN"/>
                    </w:rPr>
                    <w:t>0</w:t>
                  </w:r>
                </w:p>
              </w:tc>
              <w:tc>
                <w:tcPr>
                  <w:tcW w:w="1187" w:type="pct"/>
                  <w:vAlign w:val="center"/>
                </w:tcPr>
                <w:p>
                  <w:pPr>
                    <w:pStyle w:val="67"/>
                    <w:rPr>
                      <w:lang w:eastAsia="zh-CN"/>
                    </w:rPr>
                  </w:pPr>
                  <w:r>
                    <w:rPr>
                      <w:rFonts w:hint="eastAsia"/>
                      <w:lang w:eastAsia="zh-CN"/>
                    </w:rPr>
                    <w:t>/</w:t>
                  </w:r>
                </w:p>
              </w:tc>
              <w:tc>
                <w:tcPr>
                  <w:tcW w:w="644" w:type="pct"/>
                  <w:vAlign w:val="center"/>
                </w:tcPr>
                <w:p>
                  <w:pPr>
                    <w:pStyle w:val="67"/>
                    <w:rPr>
                      <w:lang w:eastAsia="zh-CN"/>
                    </w:rPr>
                  </w:pPr>
                  <w:r>
                    <w:rPr>
                      <w:rFonts w:hint="eastAsia"/>
                      <w:lang w:eastAsia="zh-CN"/>
                    </w:rPr>
                    <w:t>2</w:t>
                  </w:r>
                  <w:r>
                    <w:rPr>
                      <w:lang w:eastAsia="zh-CN"/>
                    </w:rP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6" w:type="pct"/>
                  <w:vAlign w:val="center"/>
                </w:tcPr>
                <w:p>
                  <w:pPr>
                    <w:pStyle w:val="67"/>
                    <w:rPr>
                      <w:lang w:eastAsia="zh-CN"/>
                    </w:rPr>
                  </w:pPr>
                  <w:r>
                    <w:rPr>
                      <w:rFonts w:hint="eastAsia"/>
                      <w:lang w:eastAsia="zh-CN"/>
                    </w:rPr>
                    <w:t>1</w:t>
                  </w:r>
                  <w:r>
                    <w:rPr>
                      <w:lang w:eastAsia="zh-CN"/>
                    </w:rPr>
                    <w:t>7</w:t>
                  </w:r>
                </w:p>
              </w:tc>
              <w:tc>
                <w:tcPr>
                  <w:tcW w:w="802" w:type="pct"/>
                  <w:vAlign w:val="center"/>
                </w:tcPr>
                <w:p>
                  <w:pPr>
                    <w:pStyle w:val="67"/>
                    <w:rPr>
                      <w:lang w:eastAsia="zh-CN"/>
                    </w:rPr>
                  </w:pPr>
                  <w:r>
                    <w:rPr>
                      <w:rFonts w:hint="eastAsia"/>
                      <w:lang w:eastAsia="zh-CN"/>
                    </w:rPr>
                    <w:t>输送皮带</w:t>
                  </w:r>
                </w:p>
              </w:tc>
              <w:tc>
                <w:tcPr>
                  <w:tcW w:w="565" w:type="pct"/>
                  <w:vAlign w:val="center"/>
                </w:tcPr>
                <w:p>
                  <w:pPr>
                    <w:pStyle w:val="67"/>
                    <w:rPr>
                      <w:lang w:eastAsia="zh-CN"/>
                    </w:rPr>
                  </w:pPr>
                  <w:r>
                    <w:rPr>
                      <w:rFonts w:hint="eastAsia"/>
                      <w:lang w:eastAsia="zh-CN"/>
                    </w:rPr>
                    <w:t>6</w:t>
                  </w:r>
                </w:p>
              </w:tc>
              <w:tc>
                <w:tcPr>
                  <w:tcW w:w="1107" w:type="pct"/>
                  <w:vAlign w:val="center"/>
                </w:tcPr>
                <w:p>
                  <w:pPr>
                    <w:pStyle w:val="67"/>
                    <w:rPr>
                      <w:lang w:eastAsia="zh-CN"/>
                    </w:rPr>
                  </w:pPr>
                  <w:r>
                    <w:rPr>
                      <w:rFonts w:hint="eastAsia"/>
                      <w:lang w:eastAsia="zh-CN"/>
                    </w:rPr>
                    <w:t>非标</w:t>
                  </w:r>
                  <w:r>
                    <w:rPr>
                      <w:rFonts w:hint="eastAsia" w:ascii="宋体" w:hAnsi="宋体"/>
                      <w:lang w:eastAsia="zh-CN"/>
                    </w:rPr>
                    <w:t>,</w:t>
                  </w:r>
                  <w:r>
                    <w:rPr>
                      <w:rFonts w:hint="eastAsia"/>
                      <w:lang w:eastAsia="zh-CN"/>
                    </w:rPr>
                    <w:t>6m</w:t>
                  </w:r>
                </w:p>
              </w:tc>
              <w:tc>
                <w:tcPr>
                  <w:tcW w:w="438" w:type="pct"/>
                </w:tcPr>
                <w:p>
                  <w:pPr>
                    <w:pStyle w:val="67"/>
                    <w:rPr>
                      <w:lang w:eastAsia="zh-CN"/>
                    </w:rPr>
                  </w:pPr>
                  <w:r>
                    <w:rPr>
                      <w:rFonts w:hint="eastAsia"/>
                      <w:lang w:eastAsia="zh-CN"/>
                    </w:rPr>
                    <w:t>0</w:t>
                  </w:r>
                </w:p>
              </w:tc>
              <w:tc>
                <w:tcPr>
                  <w:tcW w:w="1187" w:type="pct"/>
                  <w:vAlign w:val="center"/>
                </w:tcPr>
                <w:p>
                  <w:pPr>
                    <w:pStyle w:val="67"/>
                    <w:rPr>
                      <w:lang w:eastAsia="zh-CN"/>
                    </w:rPr>
                  </w:pPr>
                  <w:r>
                    <w:rPr>
                      <w:rFonts w:hint="eastAsia"/>
                      <w:lang w:eastAsia="zh-CN"/>
                    </w:rPr>
                    <w:t>/</w:t>
                  </w:r>
                </w:p>
              </w:tc>
              <w:tc>
                <w:tcPr>
                  <w:tcW w:w="644" w:type="pct"/>
                  <w:vAlign w:val="center"/>
                </w:tcPr>
                <w:p>
                  <w:pPr>
                    <w:pStyle w:val="67"/>
                    <w:rPr>
                      <w:lang w:eastAsia="zh-CN"/>
                    </w:rPr>
                  </w:pPr>
                  <w:r>
                    <w:rPr>
                      <w:rFonts w:hint="eastAsia"/>
                      <w:lang w:eastAsia="zh-CN"/>
                    </w:rPr>
                    <w:t>6个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6" w:type="pct"/>
                  <w:vAlign w:val="center"/>
                </w:tcPr>
                <w:p>
                  <w:pPr>
                    <w:pStyle w:val="67"/>
                    <w:rPr>
                      <w:lang w:eastAsia="zh-CN"/>
                    </w:rPr>
                  </w:pPr>
                  <w:r>
                    <w:rPr>
                      <w:rFonts w:hint="eastAsia"/>
                      <w:lang w:eastAsia="zh-CN"/>
                    </w:rPr>
                    <w:t>1</w:t>
                  </w:r>
                  <w:r>
                    <w:rPr>
                      <w:lang w:eastAsia="zh-CN"/>
                    </w:rPr>
                    <w:t>8</w:t>
                  </w:r>
                </w:p>
              </w:tc>
              <w:tc>
                <w:tcPr>
                  <w:tcW w:w="802" w:type="pct"/>
                  <w:vAlign w:val="center"/>
                </w:tcPr>
                <w:p>
                  <w:pPr>
                    <w:pStyle w:val="67"/>
                    <w:rPr>
                      <w:lang w:eastAsia="zh-CN"/>
                    </w:rPr>
                  </w:pPr>
                  <w:r>
                    <w:rPr>
                      <w:rFonts w:hint="eastAsia"/>
                      <w:lang w:eastAsia="zh-CN"/>
                    </w:rPr>
                    <w:t>电机</w:t>
                  </w:r>
                </w:p>
              </w:tc>
              <w:tc>
                <w:tcPr>
                  <w:tcW w:w="565" w:type="pct"/>
                  <w:vAlign w:val="center"/>
                </w:tcPr>
                <w:p>
                  <w:pPr>
                    <w:pStyle w:val="67"/>
                    <w:rPr>
                      <w:lang w:eastAsia="zh-CN"/>
                    </w:rPr>
                  </w:pPr>
                  <w:r>
                    <w:rPr>
                      <w:rFonts w:hint="eastAsia"/>
                      <w:lang w:eastAsia="zh-CN"/>
                    </w:rPr>
                    <w:t>20</w:t>
                  </w:r>
                </w:p>
              </w:tc>
              <w:tc>
                <w:tcPr>
                  <w:tcW w:w="1107" w:type="pct"/>
                  <w:vAlign w:val="center"/>
                </w:tcPr>
                <w:p>
                  <w:pPr>
                    <w:pStyle w:val="67"/>
                    <w:rPr>
                      <w:lang w:eastAsia="zh-CN"/>
                    </w:rPr>
                  </w:pPr>
                  <w:r>
                    <w:rPr>
                      <w:rFonts w:hint="eastAsia"/>
                      <w:lang w:eastAsia="zh-CN"/>
                    </w:rPr>
                    <w:t>/</w:t>
                  </w:r>
                </w:p>
              </w:tc>
              <w:tc>
                <w:tcPr>
                  <w:tcW w:w="438" w:type="pct"/>
                </w:tcPr>
                <w:p>
                  <w:pPr>
                    <w:pStyle w:val="67"/>
                    <w:rPr>
                      <w:lang w:eastAsia="zh-CN"/>
                    </w:rPr>
                  </w:pPr>
                  <w:r>
                    <w:rPr>
                      <w:rFonts w:hint="eastAsia"/>
                      <w:lang w:eastAsia="zh-CN"/>
                    </w:rPr>
                    <w:t>0</w:t>
                  </w:r>
                </w:p>
              </w:tc>
              <w:tc>
                <w:tcPr>
                  <w:tcW w:w="1187" w:type="pct"/>
                  <w:vAlign w:val="center"/>
                </w:tcPr>
                <w:p>
                  <w:pPr>
                    <w:pStyle w:val="67"/>
                    <w:rPr>
                      <w:lang w:eastAsia="zh-CN"/>
                    </w:rPr>
                  </w:pPr>
                  <w:r>
                    <w:rPr>
                      <w:rFonts w:hint="eastAsia"/>
                      <w:lang w:eastAsia="zh-CN"/>
                    </w:rPr>
                    <w:t>/</w:t>
                  </w:r>
                </w:p>
              </w:tc>
              <w:tc>
                <w:tcPr>
                  <w:tcW w:w="644" w:type="pct"/>
                  <w:vAlign w:val="center"/>
                </w:tcPr>
                <w:p>
                  <w:pPr>
                    <w:pStyle w:val="67"/>
                    <w:rPr>
                      <w:lang w:eastAsia="zh-CN"/>
                    </w:rPr>
                  </w:pPr>
                  <w:r>
                    <w:rPr>
                      <w:rFonts w:hint="eastAsia"/>
                      <w:lang w:eastAsia="zh-CN"/>
                    </w:rPr>
                    <w:t>20</w:t>
                  </w:r>
                  <w:r>
                    <w:rPr>
                      <w:lang w:eastAsia="zh-CN"/>
                    </w:rP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6" w:type="pct"/>
                  <w:vAlign w:val="center"/>
                </w:tcPr>
                <w:p>
                  <w:pPr>
                    <w:pStyle w:val="67"/>
                    <w:rPr>
                      <w:lang w:eastAsia="zh-CN"/>
                    </w:rPr>
                  </w:pPr>
                  <w:r>
                    <w:rPr>
                      <w:rFonts w:hint="eastAsia"/>
                      <w:lang w:eastAsia="zh-CN"/>
                    </w:rPr>
                    <w:t>1</w:t>
                  </w:r>
                  <w:r>
                    <w:rPr>
                      <w:lang w:eastAsia="zh-CN"/>
                    </w:rPr>
                    <w:t>9</w:t>
                  </w:r>
                </w:p>
              </w:tc>
              <w:tc>
                <w:tcPr>
                  <w:tcW w:w="802" w:type="pct"/>
                  <w:vAlign w:val="center"/>
                </w:tcPr>
                <w:p>
                  <w:pPr>
                    <w:pStyle w:val="67"/>
                    <w:rPr>
                      <w:lang w:eastAsia="zh-CN"/>
                    </w:rPr>
                  </w:pPr>
                  <w:r>
                    <w:rPr>
                      <w:rFonts w:hint="eastAsia"/>
                      <w:lang w:eastAsia="zh-CN"/>
                    </w:rPr>
                    <w:t>料斗</w:t>
                  </w:r>
                </w:p>
              </w:tc>
              <w:tc>
                <w:tcPr>
                  <w:tcW w:w="565" w:type="pct"/>
                  <w:vAlign w:val="center"/>
                </w:tcPr>
                <w:p>
                  <w:pPr>
                    <w:pStyle w:val="67"/>
                    <w:rPr>
                      <w:lang w:eastAsia="zh-CN"/>
                    </w:rPr>
                  </w:pPr>
                  <w:r>
                    <w:rPr>
                      <w:rFonts w:hint="eastAsia"/>
                      <w:lang w:eastAsia="zh-CN"/>
                    </w:rPr>
                    <w:t>4</w:t>
                  </w:r>
                </w:p>
              </w:tc>
              <w:tc>
                <w:tcPr>
                  <w:tcW w:w="1107" w:type="pct"/>
                  <w:vAlign w:val="center"/>
                </w:tcPr>
                <w:p>
                  <w:pPr>
                    <w:pStyle w:val="67"/>
                    <w:rPr>
                      <w:lang w:eastAsia="zh-CN"/>
                    </w:rPr>
                  </w:pPr>
                  <w:r>
                    <w:rPr>
                      <w:rFonts w:hint="eastAsia"/>
                      <w:lang w:eastAsia="zh-CN"/>
                    </w:rPr>
                    <w:t>2</w:t>
                  </w:r>
                  <w:r>
                    <w:rPr>
                      <w:lang w:eastAsia="zh-CN"/>
                    </w:rPr>
                    <w:t>m×</w:t>
                  </w:r>
                  <w:r>
                    <w:rPr>
                      <w:rFonts w:hint="eastAsia"/>
                      <w:lang w:eastAsia="zh-CN"/>
                    </w:rPr>
                    <w:t>3</w:t>
                  </w:r>
                  <w:r>
                    <w:rPr>
                      <w:lang w:eastAsia="zh-CN"/>
                    </w:rPr>
                    <w:t>m</w:t>
                  </w:r>
                </w:p>
              </w:tc>
              <w:tc>
                <w:tcPr>
                  <w:tcW w:w="438" w:type="pct"/>
                </w:tcPr>
                <w:p>
                  <w:pPr>
                    <w:pStyle w:val="67"/>
                    <w:rPr>
                      <w:lang w:eastAsia="zh-CN"/>
                    </w:rPr>
                  </w:pPr>
                  <w:r>
                    <w:rPr>
                      <w:rFonts w:hint="eastAsia"/>
                      <w:lang w:eastAsia="zh-CN"/>
                    </w:rPr>
                    <w:t>0</w:t>
                  </w:r>
                </w:p>
              </w:tc>
              <w:tc>
                <w:tcPr>
                  <w:tcW w:w="1187" w:type="pct"/>
                  <w:vAlign w:val="center"/>
                </w:tcPr>
                <w:p>
                  <w:pPr>
                    <w:pStyle w:val="67"/>
                    <w:rPr>
                      <w:lang w:eastAsia="zh-CN"/>
                    </w:rPr>
                  </w:pPr>
                  <w:r>
                    <w:rPr>
                      <w:rFonts w:hint="eastAsia"/>
                      <w:lang w:eastAsia="zh-CN"/>
                    </w:rPr>
                    <w:t>/</w:t>
                  </w:r>
                </w:p>
              </w:tc>
              <w:tc>
                <w:tcPr>
                  <w:tcW w:w="644" w:type="pct"/>
                  <w:vAlign w:val="center"/>
                </w:tcPr>
                <w:p>
                  <w:pPr>
                    <w:pStyle w:val="67"/>
                    <w:rPr>
                      <w:lang w:eastAsia="zh-CN"/>
                    </w:rPr>
                  </w:pPr>
                  <w:r>
                    <w:rPr>
                      <w:rFonts w:hint="eastAsia"/>
                      <w:lang w:eastAsia="zh-CN"/>
                    </w:rPr>
                    <w:t>4个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6" w:type="pct"/>
                  <w:vAlign w:val="center"/>
                </w:tcPr>
                <w:p>
                  <w:pPr>
                    <w:pStyle w:val="67"/>
                    <w:rPr>
                      <w:lang w:eastAsia="zh-CN"/>
                    </w:rPr>
                  </w:pPr>
                  <w:r>
                    <w:rPr>
                      <w:rFonts w:hint="eastAsia"/>
                      <w:lang w:eastAsia="zh-CN"/>
                    </w:rPr>
                    <w:t>2</w:t>
                  </w:r>
                  <w:r>
                    <w:rPr>
                      <w:lang w:eastAsia="zh-CN"/>
                    </w:rPr>
                    <w:t>0</w:t>
                  </w:r>
                </w:p>
              </w:tc>
              <w:tc>
                <w:tcPr>
                  <w:tcW w:w="802" w:type="pct"/>
                  <w:vAlign w:val="center"/>
                </w:tcPr>
                <w:p>
                  <w:pPr>
                    <w:pStyle w:val="67"/>
                    <w:rPr>
                      <w:lang w:eastAsia="zh-CN"/>
                    </w:rPr>
                  </w:pPr>
                  <w:r>
                    <w:rPr>
                      <w:rFonts w:hint="eastAsia"/>
                      <w:lang w:eastAsia="zh-CN"/>
                    </w:rPr>
                    <w:t>定量给料机</w:t>
                  </w:r>
                </w:p>
              </w:tc>
              <w:tc>
                <w:tcPr>
                  <w:tcW w:w="565" w:type="pct"/>
                  <w:vAlign w:val="center"/>
                </w:tcPr>
                <w:p>
                  <w:pPr>
                    <w:pStyle w:val="67"/>
                    <w:rPr>
                      <w:lang w:eastAsia="zh-CN"/>
                    </w:rPr>
                  </w:pPr>
                  <w:r>
                    <w:rPr>
                      <w:rFonts w:hint="eastAsia"/>
                      <w:lang w:eastAsia="zh-CN"/>
                    </w:rPr>
                    <w:t>2</w:t>
                  </w:r>
                </w:p>
              </w:tc>
              <w:tc>
                <w:tcPr>
                  <w:tcW w:w="1107" w:type="pct"/>
                  <w:vAlign w:val="center"/>
                </w:tcPr>
                <w:p>
                  <w:pPr>
                    <w:pStyle w:val="67"/>
                    <w:rPr>
                      <w:lang w:eastAsia="zh-CN"/>
                    </w:rPr>
                  </w:pPr>
                  <w:r>
                    <w:rPr>
                      <w:rFonts w:hint="eastAsia"/>
                      <w:lang w:eastAsia="zh-CN"/>
                    </w:rPr>
                    <w:t>非标</w:t>
                  </w:r>
                </w:p>
              </w:tc>
              <w:tc>
                <w:tcPr>
                  <w:tcW w:w="438" w:type="pct"/>
                </w:tcPr>
                <w:p>
                  <w:pPr>
                    <w:pStyle w:val="67"/>
                    <w:rPr>
                      <w:lang w:eastAsia="zh-CN"/>
                    </w:rPr>
                  </w:pPr>
                  <w:r>
                    <w:rPr>
                      <w:rFonts w:hint="eastAsia"/>
                      <w:lang w:eastAsia="zh-CN"/>
                    </w:rPr>
                    <w:t>0</w:t>
                  </w:r>
                </w:p>
              </w:tc>
              <w:tc>
                <w:tcPr>
                  <w:tcW w:w="1187" w:type="pct"/>
                  <w:vAlign w:val="center"/>
                </w:tcPr>
                <w:p>
                  <w:pPr>
                    <w:pStyle w:val="67"/>
                    <w:rPr>
                      <w:lang w:eastAsia="zh-CN"/>
                    </w:rPr>
                  </w:pPr>
                  <w:r>
                    <w:rPr>
                      <w:rFonts w:hint="eastAsia"/>
                      <w:lang w:eastAsia="zh-CN"/>
                    </w:rPr>
                    <w:t>/</w:t>
                  </w:r>
                </w:p>
              </w:tc>
              <w:tc>
                <w:tcPr>
                  <w:tcW w:w="644" w:type="pct"/>
                  <w:vAlign w:val="center"/>
                </w:tcPr>
                <w:p>
                  <w:pPr>
                    <w:pStyle w:val="67"/>
                    <w:rPr>
                      <w:lang w:eastAsia="zh-CN"/>
                    </w:rPr>
                  </w:pPr>
                  <w:r>
                    <w:rPr>
                      <w:rFonts w:hint="eastAsia"/>
                      <w:lang w:eastAsia="zh-CN"/>
                    </w:rPr>
                    <w:t>2台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6" w:type="pct"/>
                  <w:vAlign w:val="center"/>
                </w:tcPr>
                <w:p>
                  <w:pPr>
                    <w:pStyle w:val="67"/>
                    <w:rPr>
                      <w:lang w:eastAsia="zh-CN"/>
                    </w:rPr>
                  </w:pPr>
                  <w:r>
                    <w:rPr>
                      <w:rFonts w:hint="eastAsia"/>
                      <w:lang w:eastAsia="zh-CN"/>
                    </w:rPr>
                    <w:t>2</w:t>
                  </w:r>
                  <w:r>
                    <w:rPr>
                      <w:lang w:eastAsia="zh-CN"/>
                    </w:rPr>
                    <w:t>1</w:t>
                  </w:r>
                </w:p>
              </w:tc>
              <w:tc>
                <w:tcPr>
                  <w:tcW w:w="802" w:type="pct"/>
                  <w:vAlign w:val="center"/>
                </w:tcPr>
                <w:p>
                  <w:pPr>
                    <w:pStyle w:val="67"/>
                    <w:rPr>
                      <w:lang w:eastAsia="zh-CN"/>
                    </w:rPr>
                  </w:pPr>
                  <w:r>
                    <w:rPr>
                      <w:rFonts w:hint="eastAsia"/>
                      <w:lang w:eastAsia="zh-CN"/>
                    </w:rPr>
                    <w:t>生物质颗粒燃烧机</w:t>
                  </w:r>
                </w:p>
              </w:tc>
              <w:tc>
                <w:tcPr>
                  <w:tcW w:w="565" w:type="pct"/>
                  <w:vAlign w:val="center"/>
                </w:tcPr>
                <w:p>
                  <w:pPr>
                    <w:pStyle w:val="67"/>
                    <w:rPr>
                      <w:lang w:eastAsia="zh-CN"/>
                    </w:rPr>
                  </w:pPr>
                  <w:r>
                    <w:rPr>
                      <w:rFonts w:hint="eastAsia"/>
                      <w:lang w:eastAsia="zh-CN"/>
                    </w:rPr>
                    <w:t>4</w:t>
                  </w:r>
                </w:p>
              </w:tc>
              <w:tc>
                <w:tcPr>
                  <w:tcW w:w="1107" w:type="pct"/>
                  <w:vAlign w:val="center"/>
                </w:tcPr>
                <w:p>
                  <w:pPr>
                    <w:pStyle w:val="67"/>
                    <w:rPr>
                      <w:lang w:eastAsia="zh-CN"/>
                    </w:rPr>
                  </w:pPr>
                  <w:r>
                    <w:rPr>
                      <w:rFonts w:hint="eastAsia"/>
                      <w:lang w:eastAsia="zh-CN"/>
                    </w:rPr>
                    <w:t>1.5m×1m×1.2m</w:t>
                  </w:r>
                </w:p>
              </w:tc>
              <w:tc>
                <w:tcPr>
                  <w:tcW w:w="438" w:type="pct"/>
                </w:tcPr>
                <w:p>
                  <w:pPr>
                    <w:pStyle w:val="67"/>
                    <w:rPr>
                      <w:lang w:eastAsia="zh-CN"/>
                    </w:rPr>
                  </w:pPr>
                  <w:r>
                    <w:rPr>
                      <w:rFonts w:hint="eastAsia"/>
                      <w:lang w:eastAsia="zh-CN"/>
                    </w:rPr>
                    <w:t>0</w:t>
                  </w:r>
                </w:p>
              </w:tc>
              <w:tc>
                <w:tcPr>
                  <w:tcW w:w="1187" w:type="pct"/>
                  <w:vAlign w:val="center"/>
                </w:tcPr>
                <w:p>
                  <w:pPr>
                    <w:pStyle w:val="67"/>
                    <w:rPr>
                      <w:lang w:eastAsia="zh-CN"/>
                    </w:rPr>
                  </w:pPr>
                  <w:r>
                    <w:rPr>
                      <w:rFonts w:hint="eastAsia"/>
                      <w:lang w:eastAsia="zh-CN"/>
                    </w:rPr>
                    <w:t>/</w:t>
                  </w:r>
                </w:p>
              </w:tc>
              <w:tc>
                <w:tcPr>
                  <w:tcW w:w="644" w:type="pct"/>
                  <w:vAlign w:val="center"/>
                </w:tcPr>
                <w:p>
                  <w:pPr>
                    <w:pStyle w:val="67"/>
                    <w:rPr>
                      <w:lang w:eastAsia="zh-CN"/>
                    </w:rPr>
                  </w:pPr>
                  <w:r>
                    <w:rPr>
                      <w:rFonts w:hint="eastAsia"/>
                      <w:lang w:eastAsia="zh-CN"/>
                    </w:rPr>
                    <w:t>4台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6" w:type="pct"/>
                  <w:vAlign w:val="center"/>
                </w:tcPr>
                <w:p>
                  <w:pPr>
                    <w:pStyle w:val="67"/>
                    <w:rPr>
                      <w:lang w:eastAsia="zh-CN"/>
                    </w:rPr>
                  </w:pPr>
                  <w:r>
                    <w:rPr>
                      <w:rFonts w:hint="eastAsia"/>
                      <w:lang w:eastAsia="zh-CN"/>
                    </w:rPr>
                    <w:t>2</w:t>
                  </w:r>
                  <w:r>
                    <w:rPr>
                      <w:lang w:eastAsia="zh-CN"/>
                    </w:rPr>
                    <w:t>2</w:t>
                  </w:r>
                </w:p>
              </w:tc>
              <w:tc>
                <w:tcPr>
                  <w:tcW w:w="802" w:type="pct"/>
                  <w:vAlign w:val="center"/>
                </w:tcPr>
                <w:p>
                  <w:pPr>
                    <w:pStyle w:val="67"/>
                    <w:rPr>
                      <w:lang w:eastAsia="zh-CN"/>
                    </w:rPr>
                  </w:pPr>
                  <w:r>
                    <w:rPr>
                      <w:rFonts w:hint="eastAsia"/>
                      <w:lang w:eastAsia="zh-CN"/>
                    </w:rPr>
                    <w:t>风机</w:t>
                  </w:r>
                </w:p>
              </w:tc>
              <w:tc>
                <w:tcPr>
                  <w:tcW w:w="565" w:type="pct"/>
                  <w:vAlign w:val="center"/>
                </w:tcPr>
                <w:p>
                  <w:pPr>
                    <w:pStyle w:val="67"/>
                    <w:rPr>
                      <w:lang w:eastAsia="zh-CN"/>
                    </w:rPr>
                  </w:pPr>
                  <w:r>
                    <w:rPr>
                      <w:lang w:eastAsia="zh-CN"/>
                    </w:rPr>
                    <w:t>8</w:t>
                  </w:r>
                </w:p>
              </w:tc>
              <w:tc>
                <w:tcPr>
                  <w:tcW w:w="1107" w:type="pct"/>
                  <w:vAlign w:val="center"/>
                </w:tcPr>
                <w:p>
                  <w:pPr>
                    <w:pStyle w:val="67"/>
                    <w:rPr>
                      <w:lang w:eastAsia="zh-CN"/>
                    </w:rPr>
                  </w:pPr>
                  <w:r>
                    <w:rPr>
                      <w:rFonts w:hint="eastAsia"/>
                      <w:lang w:eastAsia="zh-CN"/>
                    </w:rPr>
                    <w:t>/</w:t>
                  </w:r>
                </w:p>
              </w:tc>
              <w:tc>
                <w:tcPr>
                  <w:tcW w:w="438" w:type="pct"/>
                </w:tcPr>
                <w:p>
                  <w:pPr>
                    <w:pStyle w:val="67"/>
                    <w:rPr>
                      <w:lang w:eastAsia="zh-CN"/>
                    </w:rPr>
                  </w:pPr>
                  <w:r>
                    <w:rPr>
                      <w:rFonts w:hint="eastAsia"/>
                      <w:lang w:eastAsia="zh-CN"/>
                    </w:rPr>
                    <w:t>0</w:t>
                  </w:r>
                </w:p>
              </w:tc>
              <w:tc>
                <w:tcPr>
                  <w:tcW w:w="1187" w:type="pct"/>
                </w:tcPr>
                <w:p>
                  <w:pPr>
                    <w:pStyle w:val="67"/>
                    <w:rPr>
                      <w:lang w:eastAsia="zh-CN"/>
                    </w:rPr>
                  </w:pPr>
                </w:p>
              </w:tc>
              <w:tc>
                <w:tcPr>
                  <w:tcW w:w="644" w:type="pct"/>
                  <w:vAlign w:val="center"/>
                </w:tcPr>
                <w:p>
                  <w:pPr>
                    <w:pStyle w:val="67"/>
                    <w:rPr>
                      <w:lang w:eastAsia="zh-CN"/>
                    </w:rPr>
                  </w:pPr>
                  <w:r>
                    <w:rPr>
                      <w:lang w:eastAsia="zh-CN"/>
                    </w:rPr>
                    <w:t>8</w:t>
                  </w:r>
                  <w:r>
                    <w:rPr>
                      <w:rFonts w:hint="eastAsia"/>
                      <w:lang w:eastAsia="zh-CN"/>
                    </w:rPr>
                    <w:t>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6" w:type="pct"/>
                  <w:vAlign w:val="center"/>
                </w:tcPr>
                <w:p>
                  <w:pPr>
                    <w:pStyle w:val="67"/>
                    <w:rPr>
                      <w:lang w:eastAsia="zh-CN"/>
                    </w:rPr>
                  </w:pPr>
                  <w:r>
                    <w:rPr>
                      <w:rFonts w:hint="eastAsia"/>
                      <w:lang w:eastAsia="zh-CN"/>
                    </w:rPr>
                    <w:t>2</w:t>
                  </w:r>
                  <w:r>
                    <w:rPr>
                      <w:lang w:eastAsia="zh-CN"/>
                    </w:rPr>
                    <w:t>3</w:t>
                  </w:r>
                </w:p>
              </w:tc>
              <w:tc>
                <w:tcPr>
                  <w:tcW w:w="802" w:type="pct"/>
                  <w:vAlign w:val="center"/>
                </w:tcPr>
                <w:p>
                  <w:pPr>
                    <w:pStyle w:val="67"/>
                    <w:rPr>
                      <w:lang w:eastAsia="zh-CN"/>
                    </w:rPr>
                  </w:pPr>
                  <w:r>
                    <w:rPr>
                      <w:rFonts w:hint="eastAsia"/>
                      <w:lang w:eastAsia="zh-CN"/>
                    </w:rPr>
                    <w:t>装载机</w:t>
                  </w:r>
                </w:p>
              </w:tc>
              <w:tc>
                <w:tcPr>
                  <w:tcW w:w="565" w:type="pct"/>
                  <w:vAlign w:val="center"/>
                </w:tcPr>
                <w:p>
                  <w:pPr>
                    <w:pStyle w:val="67"/>
                    <w:rPr>
                      <w:lang w:eastAsia="zh-CN"/>
                    </w:rPr>
                  </w:pPr>
                  <w:r>
                    <w:rPr>
                      <w:rFonts w:hint="eastAsia"/>
                      <w:lang w:eastAsia="zh-CN"/>
                    </w:rPr>
                    <w:t>2</w:t>
                  </w:r>
                </w:p>
              </w:tc>
              <w:tc>
                <w:tcPr>
                  <w:tcW w:w="1107" w:type="pct"/>
                  <w:vAlign w:val="center"/>
                </w:tcPr>
                <w:p>
                  <w:pPr>
                    <w:pStyle w:val="67"/>
                    <w:rPr>
                      <w:lang w:eastAsia="zh-CN"/>
                    </w:rPr>
                  </w:pPr>
                  <w:bookmarkStart w:id="139" w:name="OLE_LINK29"/>
                  <w:r>
                    <w:rPr>
                      <w:rFonts w:hint="eastAsia"/>
                      <w:lang w:eastAsia="zh-CN"/>
                    </w:rPr>
                    <w:t>/</w:t>
                  </w:r>
                  <w:bookmarkEnd w:id="139"/>
                </w:p>
              </w:tc>
              <w:tc>
                <w:tcPr>
                  <w:tcW w:w="438" w:type="pct"/>
                </w:tcPr>
                <w:p>
                  <w:pPr>
                    <w:pStyle w:val="67"/>
                    <w:rPr>
                      <w:lang w:eastAsia="zh-CN"/>
                    </w:rPr>
                  </w:pPr>
                  <w:r>
                    <w:rPr>
                      <w:rFonts w:hint="eastAsia"/>
                      <w:lang w:eastAsia="zh-CN"/>
                    </w:rPr>
                    <w:t>0</w:t>
                  </w:r>
                </w:p>
              </w:tc>
              <w:tc>
                <w:tcPr>
                  <w:tcW w:w="1187" w:type="pct"/>
                </w:tcPr>
                <w:p>
                  <w:pPr>
                    <w:pStyle w:val="67"/>
                    <w:rPr>
                      <w:lang w:eastAsia="zh-CN"/>
                    </w:rPr>
                  </w:pPr>
                </w:p>
              </w:tc>
              <w:tc>
                <w:tcPr>
                  <w:tcW w:w="644" w:type="pct"/>
                  <w:vAlign w:val="center"/>
                </w:tcPr>
                <w:p>
                  <w:pPr>
                    <w:pStyle w:val="67"/>
                    <w:rPr>
                      <w:lang w:eastAsia="zh-CN"/>
                    </w:rPr>
                  </w:pPr>
                  <w:r>
                    <w:rPr>
                      <w:rFonts w:hint="eastAsia"/>
                      <w:lang w:eastAsia="zh-CN"/>
                    </w:rPr>
                    <w:t>2台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6" w:type="pct"/>
                  <w:vAlign w:val="center"/>
                </w:tcPr>
                <w:p>
                  <w:pPr>
                    <w:pStyle w:val="67"/>
                    <w:rPr>
                      <w:lang w:eastAsia="zh-CN"/>
                    </w:rPr>
                  </w:pPr>
                  <w:r>
                    <w:rPr>
                      <w:lang w:eastAsia="zh-CN"/>
                    </w:rPr>
                    <w:t>24</w:t>
                  </w:r>
                </w:p>
              </w:tc>
              <w:tc>
                <w:tcPr>
                  <w:tcW w:w="802" w:type="pct"/>
                  <w:vAlign w:val="center"/>
                </w:tcPr>
                <w:p>
                  <w:pPr>
                    <w:pStyle w:val="67"/>
                    <w:rPr>
                      <w:lang w:eastAsia="zh-CN"/>
                    </w:rPr>
                  </w:pPr>
                  <w:r>
                    <w:rPr>
                      <w:rFonts w:hint="eastAsia"/>
                      <w:lang w:eastAsia="zh-CN"/>
                    </w:rPr>
                    <w:t>球磨机</w:t>
                  </w:r>
                </w:p>
              </w:tc>
              <w:tc>
                <w:tcPr>
                  <w:tcW w:w="565" w:type="pct"/>
                  <w:vAlign w:val="center"/>
                </w:tcPr>
                <w:p>
                  <w:pPr>
                    <w:pStyle w:val="67"/>
                    <w:rPr>
                      <w:lang w:eastAsia="zh-CN"/>
                    </w:rPr>
                  </w:pPr>
                  <w:r>
                    <w:rPr>
                      <w:rFonts w:hint="eastAsia"/>
                      <w:lang w:eastAsia="zh-CN"/>
                    </w:rPr>
                    <w:t>0</w:t>
                  </w:r>
                </w:p>
              </w:tc>
              <w:tc>
                <w:tcPr>
                  <w:tcW w:w="1107" w:type="pct"/>
                  <w:vAlign w:val="center"/>
                </w:tcPr>
                <w:p>
                  <w:pPr>
                    <w:pStyle w:val="67"/>
                    <w:rPr>
                      <w:lang w:eastAsia="zh-CN"/>
                    </w:rPr>
                  </w:pPr>
                  <w:r>
                    <w:rPr>
                      <w:rFonts w:hint="eastAsia"/>
                      <w:lang w:eastAsia="zh-CN"/>
                    </w:rPr>
                    <w:t>/</w:t>
                  </w:r>
                </w:p>
              </w:tc>
              <w:tc>
                <w:tcPr>
                  <w:tcW w:w="438" w:type="pct"/>
                  <w:vAlign w:val="center"/>
                </w:tcPr>
                <w:p>
                  <w:pPr>
                    <w:pStyle w:val="67"/>
                    <w:rPr>
                      <w:lang w:eastAsia="zh-CN"/>
                    </w:rPr>
                  </w:pPr>
                  <w:r>
                    <w:rPr>
                      <w:rFonts w:hint="eastAsia"/>
                      <w:lang w:eastAsia="zh-CN"/>
                    </w:rPr>
                    <w:t>1套</w:t>
                  </w:r>
                </w:p>
              </w:tc>
              <w:tc>
                <w:tcPr>
                  <w:tcW w:w="1187" w:type="pct"/>
                  <w:vAlign w:val="center"/>
                </w:tcPr>
                <w:p>
                  <w:pPr>
                    <w:pStyle w:val="67"/>
                    <w:rPr>
                      <w:lang w:eastAsia="zh-CN"/>
                    </w:rPr>
                  </w:pPr>
                  <w:r>
                    <w:rPr>
                      <w:rFonts w:hint="eastAsia"/>
                      <w:lang w:eastAsia="zh-CN"/>
                    </w:rPr>
                    <w:t>45t/h，20m×DN1.8m</w:t>
                  </w:r>
                </w:p>
              </w:tc>
              <w:tc>
                <w:tcPr>
                  <w:tcW w:w="644" w:type="pct"/>
                  <w:vAlign w:val="center"/>
                </w:tcPr>
                <w:p>
                  <w:pPr>
                    <w:pStyle w:val="67"/>
                    <w:rPr>
                      <w:lang w:eastAsia="zh-CN"/>
                    </w:rPr>
                  </w:pPr>
                  <w:r>
                    <w:rPr>
                      <w:rFonts w:hint="eastAsia"/>
                      <w:lang w:eastAsia="zh-CN"/>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6" w:type="pct"/>
                  <w:vAlign w:val="center"/>
                </w:tcPr>
                <w:p>
                  <w:pPr>
                    <w:pStyle w:val="67"/>
                    <w:rPr>
                      <w:lang w:eastAsia="zh-CN"/>
                    </w:rPr>
                  </w:pPr>
                  <w:r>
                    <w:rPr>
                      <w:lang w:eastAsia="zh-CN"/>
                    </w:rPr>
                    <w:t>25</w:t>
                  </w:r>
                </w:p>
              </w:tc>
              <w:tc>
                <w:tcPr>
                  <w:tcW w:w="802" w:type="pct"/>
                  <w:shd w:val="clear" w:color="auto" w:fill="auto"/>
                  <w:vAlign w:val="center"/>
                </w:tcPr>
                <w:p>
                  <w:pPr>
                    <w:pStyle w:val="67"/>
                    <w:rPr>
                      <w:lang w:eastAsia="zh-CN"/>
                    </w:rPr>
                  </w:pPr>
                  <w:r>
                    <w:rPr>
                      <w:rFonts w:hint="eastAsia"/>
                      <w:lang w:eastAsia="zh-CN"/>
                    </w:rPr>
                    <w:t>分级设备</w:t>
                  </w:r>
                </w:p>
              </w:tc>
              <w:tc>
                <w:tcPr>
                  <w:tcW w:w="565" w:type="pct"/>
                </w:tcPr>
                <w:p>
                  <w:pPr>
                    <w:pStyle w:val="67"/>
                    <w:rPr>
                      <w:lang w:eastAsia="zh-CN"/>
                    </w:rPr>
                  </w:pPr>
                  <w:r>
                    <w:rPr>
                      <w:rFonts w:hint="eastAsia"/>
                      <w:lang w:eastAsia="zh-CN"/>
                    </w:rPr>
                    <w:t>0</w:t>
                  </w:r>
                </w:p>
              </w:tc>
              <w:tc>
                <w:tcPr>
                  <w:tcW w:w="1107" w:type="pct"/>
                  <w:vAlign w:val="center"/>
                </w:tcPr>
                <w:p>
                  <w:pPr>
                    <w:pStyle w:val="67"/>
                    <w:rPr>
                      <w:lang w:eastAsia="zh-CN"/>
                    </w:rPr>
                  </w:pPr>
                  <w:r>
                    <w:rPr>
                      <w:rFonts w:hint="eastAsia"/>
                      <w:lang w:eastAsia="zh-CN"/>
                    </w:rPr>
                    <w:t>/</w:t>
                  </w:r>
                </w:p>
              </w:tc>
              <w:tc>
                <w:tcPr>
                  <w:tcW w:w="438" w:type="pct"/>
                  <w:vAlign w:val="center"/>
                </w:tcPr>
                <w:p>
                  <w:pPr>
                    <w:pStyle w:val="67"/>
                    <w:rPr>
                      <w:lang w:eastAsia="zh-CN"/>
                    </w:rPr>
                  </w:pPr>
                  <w:r>
                    <w:rPr>
                      <w:rFonts w:hint="eastAsia"/>
                      <w:lang w:eastAsia="zh-CN"/>
                    </w:rPr>
                    <w:t>1套</w:t>
                  </w:r>
                </w:p>
              </w:tc>
              <w:tc>
                <w:tcPr>
                  <w:tcW w:w="1187" w:type="pct"/>
                  <w:vAlign w:val="center"/>
                </w:tcPr>
                <w:p>
                  <w:pPr>
                    <w:pStyle w:val="67"/>
                    <w:rPr>
                      <w:lang w:eastAsia="zh-CN"/>
                    </w:rPr>
                  </w:pPr>
                  <w:r>
                    <w:rPr>
                      <w:rFonts w:hint="eastAsia"/>
                      <w:lang w:eastAsia="zh-CN"/>
                    </w:rPr>
                    <w:t>HTFJ-5000</w:t>
                  </w:r>
                </w:p>
              </w:tc>
              <w:tc>
                <w:tcPr>
                  <w:tcW w:w="644" w:type="pct"/>
                  <w:vAlign w:val="center"/>
                </w:tcPr>
                <w:p>
                  <w:pPr>
                    <w:pStyle w:val="67"/>
                    <w:rPr>
                      <w:lang w:eastAsia="zh-CN"/>
                    </w:rPr>
                  </w:pPr>
                  <w:r>
                    <w:rPr>
                      <w:rFonts w:hint="eastAsia"/>
                      <w:lang w:eastAsia="zh-CN"/>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6" w:type="pct"/>
                  <w:vAlign w:val="center"/>
                </w:tcPr>
                <w:p>
                  <w:pPr>
                    <w:pStyle w:val="67"/>
                    <w:rPr>
                      <w:lang w:eastAsia="zh-CN"/>
                    </w:rPr>
                  </w:pPr>
                  <w:r>
                    <w:rPr>
                      <w:lang w:eastAsia="zh-CN"/>
                    </w:rPr>
                    <w:t>26</w:t>
                  </w:r>
                </w:p>
              </w:tc>
              <w:tc>
                <w:tcPr>
                  <w:tcW w:w="802" w:type="pct"/>
                  <w:shd w:val="clear" w:color="auto" w:fill="auto"/>
                  <w:vAlign w:val="center"/>
                </w:tcPr>
                <w:p>
                  <w:pPr>
                    <w:pStyle w:val="67"/>
                    <w:rPr>
                      <w:lang w:eastAsia="zh-CN"/>
                    </w:rPr>
                  </w:pPr>
                  <w:r>
                    <w:rPr>
                      <w:rFonts w:hint="eastAsia"/>
                      <w:lang w:eastAsia="zh-CN"/>
                    </w:rPr>
                    <w:t>磁选机</w:t>
                  </w:r>
                </w:p>
              </w:tc>
              <w:tc>
                <w:tcPr>
                  <w:tcW w:w="565" w:type="pct"/>
                </w:tcPr>
                <w:p>
                  <w:pPr>
                    <w:pStyle w:val="67"/>
                    <w:rPr>
                      <w:lang w:eastAsia="zh-CN"/>
                    </w:rPr>
                  </w:pPr>
                  <w:r>
                    <w:rPr>
                      <w:rFonts w:hint="eastAsia"/>
                      <w:lang w:eastAsia="zh-CN"/>
                    </w:rPr>
                    <w:t>0</w:t>
                  </w:r>
                </w:p>
              </w:tc>
              <w:tc>
                <w:tcPr>
                  <w:tcW w:w="1107" w:type="pct"/>
                  <w:vAlign w:val="center"/>
                </w:tcPr>
                <w:p>
                  <w:pPr>
                    <w:pStyle w:val="67"/>
                    <w:rPr>
                      <w:lang w:eastAsia="zh-CN"/>
                    </w:rPr>
                  </w:pPr>
                  <w:r>
                    <w:rPr>
                      <w:rFonts w:hint="eastAsia"/>
                      <w:lang w:eastAsia="zh-CN"/>
                    </w:rPr>
                    <w:t>/</w:t>
                  </w:r>
                </w:p>
              </w:tc>
              <w:tc>
                <w:tcPr>
                  <w:tcW w:w="438" w:type="pct"/>
                  <w:vAlign w:val="center"/>
                </w:tcPr>
                <w:p>
                  <w:pPr>
                    <w:pStyle w:val="67"/>
                    <w:rPr>
                      <w:lang w:eastAsia="zh-CN"/>
                    </w:rPr>
                  </w:pPr>
                  <w:r>
                    <w:rPr>
                      <w:rFonts w:hint="eastAsia"/>
                      <w:lang w:eastAsia="zh-CN"/>
                    </w:rPr>
                    <w:t>1套</w:t>
                  </w:r>
                </w:p>
              </w:tc>
              <w:tc>
                <w:tcPr>
                  <w:tcW w:w="1187" w:type="pct"/>
                  <w:vAlign w:val="center"/>
                </w:tcPr>
                <w:p>
                  <w:pPr>
                    <w:pStyle w:val="67"/>
                    <w:rPr>
                      <w:lang w:eastAsia="zh-CN"/>
                    </w:rPr>
                  </w:pPr>
                  <w:r>
                    <w:rPr>
                      <w:rFonts w:hint="eastAsia"/>
                      <w:lang w:eastAsia="zh-CN"/>
                    </w:rPr>
                    <w:t>HTCX-5000</w:t>
                  </w:r>
                </w:p>
              </w:tc>
              <w:tc>
                <w:tcPr>
                  <w:tcW w:w="644" w:type="pct"/>
                  <w:vAlign w:val="center"/>
                </w:tcPr>
                <w:p>
                  <w:pPr>
                    <w:pStyle w:val="67"/>
                    <w:rPr>
                      <w:lang w:eastAsia="zh-CN"/>
                    </w:rPr>
                  </w:pPr>
                  <w:r>
                    <w:rPr>
                      <w:rFonts w:hint="eastAsia"/>
                      <w:lang w:eastAsia="zh-CN"/>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6" w:type="pct"/>
                  <w:vAlign w:val="center"/>
                </w:tcPr>
                <w:p>
                  <w:pPr>
                    <w:pStyle w:val="67"/>
                    <w:rPr>
                      <w:lang w:eastAsia="zh-CN"/>
                    </w:rPr>
                  </w:pPr>
                  <w:r>
                    <w:rPr>
                      <w:lang w:eastAsia="zh-CN"/>
                    </w:rPr>
                    <w:t>27</w:t>
                  </w:r>
                </w:p>
              </w:tc>
              <w:tc>
                <w:tcPr>
                  <w:tcW w:w="802" w:type="pct"/>
                  <w:shd w:val="clear" w:color="auto" w:fill="auto"/>
                  <w:vAlign w:val="center"/>
                </w:tcPr>
                <w:p>
                  <w:pPr>
                    <w:pStyle w:val="67"/>
                    <w:rPr>
                      <w:lang w:eastAsia="zh-CN"/>
                    </w:rPr>
                  </w:pPr>
                  <w:r>
                    <w:rPr>
                      <w:rFonts w:hint="eastAsia"/>
                      <w:lang w:eastAsia="zh-CN"/>
                    </w:rPr>
                    <w:t>浮选机</w:t>
                  </w:r>
                </w:p>
              </w:tc>
              <w:tc>
                <w:tcPr>
                  <w:tcW w:w="565" w:type="pct"/>
                </w:tcPr>
                <w:p>
                  <w:pPr>
                    <w:pStyle w:val="67"/>
                    <w:rPr>
                      <w:lang w:eastAsia="zh-CN"/>
                    </w:rPr>
                  </w:pPr>
                  <w:r>
                    <w:rPr>
                      <w:rFonts w:hint="eastAsia"/>
                      <w:lang w:eastAsia="zh-CN"/>
                    </w:rPr>
                    <w:t>0</w:t>
                  </w:r>
                </w:p>
              </w:tc>
              <w:tc>
                <w:tcPr>
                  <w:tcW w:w="1107" w:type="pct"/>
                  <w:vAlign w:val="center"/>
                </w:tcPr>
                <w:p>
                  <w:pPr>
                    <w:pStyle w:val="67"/>
                    <w:rPr>
                      <w:lang w:eastAsia="zh-CN"/>
                    </w:rPr>
                  </w:pPr>
                  <w:r>
                    <w:rPr>
                      <w:rFonts w:hint="eastAsia"/>
                      <w:lang w:eastAsia="zh-CN"/>
                    </w:rPr>
                    <w:t>/</w:t>
                  </w:r>
                </w:p>
              </w:tc>
              <w:tc>
                <w:tcPr>
                  <w:tcW w:w="438" w:type="pct"/>
                  <w:vAlign w:val="center"/>
                </w:tcPr>
                <w:p>
                  <w:pPr>
                    <w:pStyle w:val="67"/>
                    <w:rPr>
                      <w:lang w:eastAsia="zh-CN"/>
                    </w:rPr>
                  </w:pPr>
                  <w:r>
                    <w:rPr>
                      <w:rFonts w:hint="eastAsia"/>
                      <w:lang w:eastAsia="zh-CN"/>
                    </w:rPr>
                    <w:t>1套</w:t>
                  </w:r>
                </w:p>
              </w:tc>
              <w:tc>
                <w:tcPr>
                  <w:tcW w:w="1187" w:type="pct"/>
                  <w:vAlign w:val="center"/>
                </w:tcPr>
                <w:p>
                  <w:pPr>
                    <w:pStyle w:val="67"/>
                    <w:rPr>
                      <w:lang w:eastAsia="zh-CN"/>
                    </w:rPr>
                  </w:pPr>
                  <w:r>
                    <w:rPr>
                      <w:rFonts w:hint="eastAsia"/>
                      <w:lang w:eastAsia="zh-CN"/>
                    </w:rPr>
                    <w:t>FTFX-5000</w:t>
                  </w:r>
                </w:p>
              </w:tc>
              <w:tc>
                <w:tcPr>
                  <w:tcW w:w="644" w:type="pct"/>
                  <w:vAlign w:val="center"/>
                </w:tcPr>
                <w:p>
                  <w:pPr>
                    <w:pStyle w:val="67"/>
                    <w:rPr>
                      <w:lang w:eastAsia="zh-CN"/>
                    </w:rPr>
                  </w:pPr>
                  <w:r>
                    <w:rPr>
                      <w:rFonts w:hint="eastAsia"/>
                      <w:lang w:eastAsia="zh-CN"/>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6" w:type="pct"/>
                  <w:vAlign w:val="center"/>
                </w:tcPr>
                <w:p>
                  <w:pPr>
                    <w:pStyle w:val="67"/>
                    <w:rPr>
                      <w:lang w:eastAsia="zh-CN"/>
                    </w:rPr>
                  </w:pPr>
                  <w:r>
                    <w:rPr>
                      <w:lang w:eastAsia="zh-CN"/>
                    </w:rPr>
                    <w:t>28</w:t>
                  </w:r>
                </w:p>
              </w:tc>
              <w:tc>
                <w:tcPr>
                  <w:tcW w:w="802" w:type="pct"/>
                  <w:shd w:val="clear" w:color="auto" w:fill="auto"/>
                  <w:vAlign w:val="center"/>
                </w:tcPr>
                <w:p>
                  <w:pPr>
                    <w:pStyle w:val="67"/>
                    <w:rPr>
                      <w:lang w:eastAsia="zh-CN"/>
                    </w:rPr>
                  </w:pPr>
                  <w:r>
                    <w:rPr>
                      <w:rFonts w:hint="eastAsia"/>
                      <w:lang w:eastAsia="zh-CN"/>
                    </w:rPr>
                    <w:t>搅拌装置</w:t>
                  </w:r>
                </w:p>
              </w:tc>
              <w:tc>
                <w:tcPr>
                  <w:tcW w:w="565" w:type="pct"/>
                </w:tcPr>
                <w:p>
                  <w:pPr>
                    <w:pStyle w:val="67"/>
                    <w:rPr>
                      <w:lang w:eastAsia="zh-CN"/>
                    </w:rPr>
                  </w:pPr>
                  <w:r>
                    <w:rPr>
                      <w:rFonts w:hint="eastAsia"/>
                      <w:lang w:eastAsia="zh-CN"/>
                    </w:rPr>
                    <w:t>0</w:t>
                  </w:r>
                </w:p>
              </w:tc>
              <w:tc>
                <w:tcPr>
                  <w:tcW w:w="1107" w:type="pct"/>
                  <w:vAlign w:val="center"/>
                </w:tcPr>
                <w:p>
                  <w:pPr>
                    <w:pStyle w:val="67"/>
                    <w:rPr>
                      <w:lang w:eastAsia="zh-CN"/>
                    </w:rPr>
                  </w:pPr>
                  <w:r>
                    <w:rPr>
                      <w:rFonts w:hint="eastAsia"/>
                      <w:lang w:eastAsia="zh-CN"/>
                    </w:rPr>
                    <w:t>/</w:t>
                  </w:r>
                </w:p>
              </w:tc>
              <w:tc>
                <w:tcPr>
                  <w:tcW w:w="438" w:type="pct"/>
                  <w:vAlign w:val="center"/>
                </w:tcPr>
                <w:p>
                  <w:pPr>
                    <w:pStyle w:val="67"/>
                    <w:rPr>
                      <w:lang w:eastAsia="zh-CN"/>
                    </w:rPr>
                  </w:pPr>
                  <w:r>
                    <w:rPr>
                      <w:rFonts w:hint="eastAsia"/>
                      <w:lang w:eastAsia="zh-CN"/>
                    </w:rPr>
                    <w:t>1批</w:t>
                  </w:r>
                </w:p>
              </w:tc>
              <w:tc>
                <w:tcPr>
                  <w:tcW w:w="1187" w:type="pct"/>
                  <w:vAlign w:val="center"/>
                </w:tcPr>
                <w:p>
                  <w:pPr>
                    <w:pStyle w:val="67"/>
                    <w:rPr>
                      <w:lang w:eastAsia="zh-CN"/>
                    </w:rPr>
                  </w:pPr>
                  <w:r>
                    <w:rPr>
                      <w:rFonts w:hint="eastAsia"/>
                      <w:lang w:eastAsia="zh-CN"/>
                    </w:rPr>
                    <w:t>HTJB-SS-1</w:t>
                  </w:r>
                </w:p>
              </w:tc>
              <w:tc>
                <w:tcPr>
                  <w:tcW w:w="644" w:type="pct"/>
                  <w:vAlign w:val="center"/>
                </w:tcPr>
                <w:p>
                  <w:pPr>
                    <w:pStyle w:val="67"/>
                    <w:rPr>
                      <w:lang w:eastAsia="zh-CN"/>
                    </w:rPr>
                  </w:pPr>
                  <w:r>
                    <w:rPr>
                      <w:rFonts w:hint="eastAsia"/>
                      <w:lang w:eastAsia="zh-CN"/>
                    </w:rPr>
                    <w:t>1批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6" w:type="pct"/>
                  <w:vAlign w:val="center"/>
                </w:tcPr>
                <w:p>
                  <w:pPr>
                    <w:pStyle w:val="67"/>
                    <w:rPr>
                      <w:lang w:eastAsia="zh-CN"/>
                    </w:rPr>
                  </w:pPr>
                  <w:r>
                    <w:rPr>
                      <w:rFonts w:hint="eastAsia"/>
                      <w:lang w:eastAsia="zh-CN"/>
                    </w:rPr>
                    <w:t>2</w:t>
                  </w:r>
                  <w:r>
                    <w:rPr>
                      <w:lang w:eastAsia="zh-CN"/>
                    </w:rPr>
                    <w:t>9</w:t>
                  </w:r>
                </w:p>
              </w:tc>
              <w:tc>
                <w:tcPr>
                  <w:tcW w:w="802" w:type="pct"/>
                  <w:shd w:val="clear" w:color="auto" w:fill="auto"/>
                  <w:vAlign w:val="center"/>
                </w:tcPr>
                <w:p>
                  <w:pPr>
                    <w:pStyle w:val="67"/>
                    <w:rPr>
                      <w:lang w:eastAsia="zh-CN"/>
                    </w:rPr>
                  </w:pPr>
                  <w:r>
                    <w:rPr>
                      <w:rFonts w:hint="eastAsia"/>
                      <w:lang w:eastAsia="zh-CN"/>
                    </w:rPr>
                    <w:t>金属产品分级装置</w:t>
                  </w:r>
                </w:p>
              </w:tc>
              <w:tc>
                <w:tcPr>
                  <w:tcW w:w="565" w:type="pct"/>
                </w:tcPr>
                <w:p>
                  <w:pPr>
                    <w:pStyle w:val="67"/>
                    <w:rPr>
                      <w:lang w:eastAsia="zh-CN"/>
                    </w:rPr>
                  </w:pPr>
                  <w:r>
                    <w:rPr>
                      <w:rFonts w:hint="eastAsia"/>
                      <w:lang w:eastAsia="zh-CN"/>
                    </w:rPr>
                    <w:t>0</w:t>
                  </w:r>
                </w:p>
              </w:tc>
              <w:tc>
                <w:tcPr>
                  <w:tcW w:w="1107" w:type="pct"/>
                  <w:vAlign w:val="center"/>
                </w:tcPr>
                <w:p>
                  <w:pPr>
                    <w:pStyle w:val="67"/>
                    <w:rPr>
                      <w:lang w:eastAsia="zh-CN"/>
                    </w:rPr>
                  </w:pPr>
                  <w:r>
                    <w:rPr>
                      <w:rFonts w:hint="eastAsia"/>
                      <w:lang w:eastAsia="zh-CN"/>
                    </w:rPr>
                    <w:t>/</w:t>
                  </w:r>
                </w:p>
              </w:tc>
              <w:tc>
                <w:tcPr>
                  <w:tcW w:w="438" w:type="pct"/>
                  <w:vAlign w:val="center"/>
                </w:tcPr>
                <w:p>
                  <w:pPr>
                    <w:pStyle w:val="67"/>
                    <w:rPr>
                      <w:lang w:eastAsia="zh-CN"/>
                    </w:rPr>
                  </w:pPr>
                  <w:r>
                    <w:rPr>
                      <w:rFonts w:hint="eastAsia"/>
                      <w:lang w:eastAsia="zh-CN"/>
                    </w:rPr>
                    <w:t>1套</w:t>
                  </w:r>
                </w:p>
              </w:tc>
              <w:tc>
                <w:tcPr>
                  <w:tcW w:w="1187" w:type="pct"/>
                  <w:vAlign w:val="center"/>
                </w:tcPr>
                <w:p>
                  <w:pPr>
                    <w:pStyle w:val="67"/>
                    <w:rPr>
                      <w:lang w:eastAsia="zh-CN"/>
                    </w:rPr>
                  </w:pPr>
                  <w:r>
                    <w:rPr>
                      <w:rFonts w:hint="eastAsia"/>
                      <w:lang w:eastAsia="zh-CN"/>
                    </w:rPr>
                    <w:t>HTGXFJ-5000</w:t>
                  </w:r>
                </w:p>
              </w:tc>
              <w:tc>
                <w:tcPr>
                  <w:tcW w:w="644" w:type="pct"/>
                  <w:vAlign w:val="center"/>
                </w:tcPr>
                <w:p>
                  <w:pPr>
                    <w:pStyle w:val="67"/>
                    <w:rPr>
                      <w:lang w:eastAsia="zh-CN"/>
                    </w:rPr>
                  </w:pPr>
                  <w:r>
                    <w:rPr>
                      <w:rFonts w:hint="eastAsia"/>
                      <w:lang w:eastAsia="zh-CN"/>
                    </w:rPr>
                    <w:t>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 w:hRule="atLeast"/>
              </w:trPr>
              <w:tc>
                <w:tcPr>
                  <w:tcW w:w="256" w:type="pct"/>
                  <w:vAlign w:val="center"/>
                </w:tcPr>
                <w:p>
                  <w:pPr>
                    <w:pStyle w:val="67"/>
                    <w:rPr>
                      <w:lang w:eastAsia="zh-CN"/>
                    </w:rPr>
                  </w:pPr>
                  <w:r>
                    <w:rPr>
                      <w:lang w:eastAsia="zh-CN"/>
                    </w:rPr>
                    <w:t>30</w:t>
                  </w:r>
                </w:p>
              </w:tc>
              <w:tc>
                <w:tcPr>
                  <w:tcW w:w="802" w:type="pct"/>
                  <w:shd w:val="clear" w:color="auto" w:fill="auto"/>
                  <w:vAlign w:val="center"/>
                </w:tcPr>
                <w:p>
                  <w:pPr>
                    <w:pStyle w:val="67"/>
                    <w:rPr>
                      <w:highlight w:val="yellow"/>
                      <w:lang w:eastAsia="zh-CN"/>
                    </w:rPr>
                  </w:pPr>
                  <w:r>
                    <w:rPr>
                      <w:rFonts w:hint="eastAsia"/>
                      <w:highlight w:val="yellow"/>
                      <w:lang w:eastAsia="zh-CN"/>
                    </w:rPr>
                    <w:t>压滤机</w:t>
                  </w:r>
                </w:p>
              </w:tc>
              <w:tc>
                <w:tcPr>
                  <w:tcW w:w="565" w:type="pct"/>
                </w:tcPr>
                <w:p>
                  <w:pPr>
                    <w:pStyle w:val="67"/>
                    <w:rPr>
                      <w:highlight w:val="yellow"/>
                      <w:lang w:eastAsia="zh-CN"/>
                    </w:rPr>
                  </w:pPr>
                  <w:r>
                    <w:rPr>
                      <w:rFonts w:hint="eastAsia"/>
                      <w:highlight w:val="yellow"/>
                      <w:lang w:eastAsia="zh-CN"/>
                    </w:rPr>
                    <w:t>0</w:t>
                  </w:r>
                </w:p>
              </w:tc>
              <w:tc>
                <w:tcPr>
                  <w:tcW w:w="1107" w:type="pct"/>
                  <w:vAlign w:val="center"/>
                </w:tcPr>
                <w:p>
                  <w:pPr>
                    <w:pStyle w:val="67"/>
                    <w:rPr>
                      <w:highlight w:val="yellow"/>
                      <w:lang w:eastAsia="zh-CN"/>
                    </w:rPr>
                  </w:pPr>
                  <w:r>
                    <w:rPr>
                      <w:rFonts w:hint="eastAsia"/>
                      <w:highlight w:val="yellow"/>
                      <w:lang w:eastAsia="zh-CN"/>
                    </w:rPr>
                    <w:t>/</w:t>
                  </w:r>
                </w:p>
              </w:tc>
              <w:tc>
                <w:tcPr>
                  <w:tcW w:w="438" w:type="pct"/>
                  <w:vAlign w:val="center"/>
                </w:tcPr>
                <w:p>
                  <w:pPr>
                    <w:pStyle w:val="67"/>
                    <w:rPr>
                      <w:highlight w:val="yellow"/>
                      <w:lang w:eastAsia="zh-CN"/>
                    </w:rPr>
                  </w:pPr>
                  <w:r>
                    <w:rPr>
                      <w:highlight w:val="yellow"/>
                      <w:lang w:eastAsia="zh-CN"/>
                    </w:rPr>
                    <w:t>4</w:t>
                  </w:r>
                  <w:r>
                    <w:rPr>
                      <w:rFonts w:hint="eastAsia"/>
                      <w:highlight w:val="yellow"/>
                      <w:lang w:eastAsia="zh-CN"/>
                    </w:rPr>
                    <w:t>套</w:t>
                  </w:r>
                </w:p>
              </w:tc>
              <w:tc>
                <w:tcPr>
                  <w:tcW w:w="1187" w:type="pct"/>
                  <w:vAlign w:val="center"/>
                </w:tcPr>
                <w:p>
                  <w:pPr>
                    <w:pStyle w:val="67"/>
                    <w:rPr>
                      <w:highlight w:val="yellow"/>
                      <w:lang w:eastAsia="zh-CN"/>
                    </w:rPr>
                  </w:pPr>
                  <w:r>
                    <w:rPr>
                      <w:rFonts w:hint="eastAsia"/>
                      <w:highlight w:val="yellow"/>
                      <w:lang w:eastAsia="zh-CN"/>
                    </w:rPr>
                    <w:t>HTBK-50</w:t>
                  </w:r>
                </w:p>
              </w:tc>
              <w:tc>
                <w:tcPr>
                  <w:tcW w:w="644" w:type="pct"/>
                  <w:vAlign w:val="center"/>
                </w:tcPr>
                <w:p>
                  <w:pPr>
                    <w:pStyle w:val="67"/>
                    <w:rPr>
                      <w:highlight w:val="yellow"/>
                      <w:lang w:eastAsia="zh-CN"/>
                    </w:rPr>
                  </w:pPr>
                  <w:r>
                    <w:rPr>
                      <w:highlight w:val="yellow"/>
                      <w:lang w:eastAsia="zh-CN"/>
                    </w:rPr>
                    <w:t>4</w:t>
                  </w:r>
                  <w:r>
                    <w:rPr>
                      <w:rFonts w:hint="eastAsia"/>
                      <w:highlight w:val="yellow"/>
                      <w:lang w:eastAsia="zh-CN"/>
                    </w:rPr>
                    <w:t>套</w:t>
                  </w:r>
                </w:p>
              </w:tc>
            </w:tr>
          </w:tbl>
          <w:p>
            <w:pPr>
              <w:pStyle w:val="92"/>
              <w:spacing w:before="120"/>
              <w:rPr>
                <w:rFonts w:hint="default" w:ascii="Times New Roman" w:hAnsi="Times New Roman" w:cs="Times New Roman"/>
                <w:color w:val="auto"/>
              </w:rPr>
            </w:pPr>
            <w:r>
              <w:rPr>
                <w:rFonts w:hint="default" w:ascii="Times New Roman" w:hAnsi="Times New Roman" w:cs="Times New Roman"/>
                <w:color w:val="auto"/>
              </w:rPr>
              <w:t>项目</w:t>
            </w:r>
            <w:r>
              <w:rPr>
                <w:rFonts w:ascii="Times New Roman" w:hAnsi="Times New Roman" w:cs="Times New Roman"/>
                <w:color w:val="auto"/>
              </w:rPr>
              <w:t>原辅材料及能源消耗</w:t>
            </w:r>
          </w:p>
          <w:p>
            <w:pPr>
              <w:pStyle w:val="82"/>
              <w:rPr>
                <w:rFonts w:hint="default" w:ascii="Times New Roman" w:hAnsi="Times New Roman" w:cs="Times New Roman"/>
              </w:rPr>
            </w:pPr>
            <w:r>
              <w:rPr>
                <w:rFonts w:hint="default" w:ascii="Times New Roman" w:hAnsi="Times New Roman" w:cs="Times New Roman"/>
              </w:rPr>
              <w:t>本项目的原材料主要是</w:t>
            </w:r>
            <w:bookmarkStart w:id="140" w:name="OLE_LINK709"/>
            <w:r>
              <w:rPr>
                <w:rFonts w:ascii="Times New Roman" w:hAnsi="Times New Roman" w:cs="Times New Roman"/>
              </w:rPr>
              <w:t>来自</w:t>
            </w:r>
            <w:bookmarkStart w:id="141" w:name="OLE_LINK201"/>
            <w:r>
              <w:rPr>
                <w:rFonts w:ascii="Times New Roman" w:hAnsi="Times New Roman" w:cs="Times New Roman"/>
              </w:rPr>
              <w:t>厂区气化渣</w:t>
            </w:r>
            <w:bookmarkStart w:id="142" w:name="OLE_LINK19"/>
            <w:bookmarkStart w:id="143" w:name="OLE_LINK18"/>
            <w:r>
              <w:t>经过</w:t>
            </w:r>
            <w:bookmarkEnd w:id="140"/>
            <w:bookmarkEnd w:id="141"/>
            <w:bookmarkEnd w:id="142"/>
            <w:bookmarkEnd w:id="143"/>
            <w:r>
              <w:t>产品细砂及固废细泥，</w:t>
            </w:r>
            <w:r>
              <w:rPr>
                <w:bCs/>
              </w:rPr>
              <w:t>项目主要原辅材料及能源消耗情况见下表</w:t>
            </w:r>
            <w:r>
              <w:rPr>
                <w:rFonts w:hint="default" w:ascii="Times New Roman" w:hAnsi="Times New Roman" w:cs="Times New Roman"/>
              </w:rPr>
              <w:t>。</w:t>
            </w:r>
          </w:p>
          <w:p>
            <w:pPr>
              <w:pStyle w:val="89"/>
              <w:rPr>
                <w:rFonts w:hint="default" w:ascii="Times New Roman" w:hAnsi="Times New Roman" w:cs="Times New Roman"/>
                <w:color w:val="auto"/>
                <w:sz w:val="21"/>
              </w:rPr>
            </w:pPr>
            <w:bookmarkStart w:id="144" w:name="OLE_LINK31"/>
            <w:bookmarkStart w:id="145" w:name="OLE_LINK23"/>
            <w:r>
              <w:rPr>
                <w:rFonts w:hint="default" w:ascii="Times New Roman" w:hAnsi="Times New Roman" w:cs="Times New Roman"/>
                <w:color w:val="auto"/>
                <w:sz w:val="21"/>
              </w:rPr>
              <w:t>表2-9</w:t>
            </w:r>
            <w:r>
              <w:rPr>
                <w:rFonts w:ascii="Times New Roman" w:hAnsi="Times New Roman" w:cs="Times New Roman"/>
                <w:color w:val="auto"/>
                <w:sz w:val="21"/>
              </w:rPr>
              <w:t>主要原辅材料及能源消耗一览表</w:t>
            </w:r>
          </w:p>
          <w:bookmarkEnd w:id="144"/>
          <w:bookmarkEnd w:id="145"/>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01"/>
              <w:gridCol w:w="2019"/>
              <w:gridCol w:w="1417"/>
              <w:gridCol w:w="29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2101" w:type="dxa"/>
                  <w:vAlign w:val="center"/>
                </w:tcPr>
                <w:p>
                  <w:pPr>
                    <w:pStyle w:val="89"/>
                    <w:rPr>
                      <w:rFonts w:hint="default" w:ascii="Times New Roman" w:hAnsi="Times New Roman" w:cs="Times New Roman"/>
                      <w:color w:val="auto"/>
                    </w:rPr>
                  </w:pPr>
                  <w:bookmarkStart w:id="146" w:name="OLE_LINK58"/>
                  <w:bookmarkStart w:id="147" w:name="_Hlk209512400"/>
                  <w:bookmarkStart w:id="148" w:name="OLE_LINK22"/>
                  <w:r>
                    <w:rPr>
                      <w:rFonts w:ascii="Times New Roman" w:hAnsi="Times New Roman" w:cs="Times New Roman"/>
                      <w:color w:val="auto"/>
                    </w:rPr>
                    <w:t>名称</w:t>
                  </w:r>
                </w:p>
              </w:tc>
              <w:tc>
                <w:tcPr>
                  <w:tcW w:w="2019" w:type="dxa"/>
                  <w:vAlign w:val="center"/>
                </w:tcPr>
                <w:p>
                  <w:pPr>
                    <w:pStyle w:val="89"/>
                    <w:rPr>
                      <w:rFonts w:hint="default" w:ascii="Times New Roman" w:hAnsi="Times New Roman" w:cs="Times New Roman"/>
                      <w:color w:val="auto"/>
                    </w:rPr>
                  </w:pPr>
                  <w:r>
                    <w:rPr>
                      <w:rFonts w:hint="default" w:ascii="Times New Roman" w:hAnsi="Times New Roman" w:cs="Times New Roman"/>
                      <w:color w:val="auto"/>
                    </w:rPr>
                    <w:t>单位</w:t>
                  </w:r>
                </w:p>
              </w:tc>
              <w:tc>
                <w:tcPr>
                  <w:tcW w:w="1417" w:type="dxa"/>
                  <w:vAlign w:val="center"/>
                </w:tcPr>
                <w:p>
                  <w:pPr>
                    <w:pStyle w:val="89"/>
                    <w:rPr>
                      <w:rFonts w:hint="default" w:ascii="Times New Roman" w:hAnsi="Times New Roman" w:cs="Times New Roman"/>
                      <w:color w:val="auto"/>
                    </w:rPr>
                  </w:pPr>
                  <w:r>
                    <w:rPr>
                      <w:rFonts w:hint="default" w:ascii="Times New Roman" w:hAnsi="Times New Roman" w:cs="Times New Roman"/>
                      <w:color w:val="auto"/>
                    </w:rPr>
                    <w:t>数量</w:t>
                  </w:r>
                </w:p>
              </w:tc>
              <w:tc>
                <w:tcPr>
                  <w:tcW w:w="2913" w:type="dxa"/>
                </w:tcPr>
                <w:p>
                  <w:pPr>
                    <w:pStyle w:val="89"/>
                    <w:rPr>
                      <w:rFonts w:hint="default" w:ascii="Times New Roman" w:hAnsi="Times New Roman" w:cs="Times New Roman"/>
                      <w:color w:val="auto"/>
                    </w:rPr>
                  </w:pPr>
                  <w:r>
                    <w:rPr>
                      <w:rFonts w:ascii="Times New Roman" w:hAnsi="Times New Roman" w:cs="Times New Roman"/>
                      <w:color w:val="auto"/>
                    </w:rPr>
                    <w:t>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01" w:type="dxa"/>
                  <w:vAlign w:val="center"/>
                </w:tcPr>
                <w:p>
                  <w:pPr>
                    <w:pStyle w:val="84"/>
                  </w:pPr>
                  <w:r>
                    <w:rPr>
                      <w:rFonts w:hint="eastAsia"/>
                    </w:rPr>
                    <w:t>细砂</w:t>
                  </w:r>
                  <w:bookmarkStart w:id="149" w:name="OLE_LINK43"/>
                  <w:bookmarkStart w:id="150" w:name="OLE_LINK42"/>
                  <w:r>
                    <w:rPr>
                      <w:rFonts w:hint="eastAsia"/>
                    </w:rPr>
                    <w:t>（</w:t>
                  </w:r>
                  <w:bookmarkStart w:id="151" w:name="OLE_LINK46"/>
                  <w:bookmarkStart w:id="152" w:name="OLE_LINK52"/>
                  <w:r>
                    <w:rPr>
                      <w:rFonts w:hint="eastAsia"/>
                    </w:rPr>
                    <w:t>含水4</w:t>
                  </w:r>
                  <w:r>
                    <w:t>5%</w:t>
                  </w:r>
                  <w:bookmarkEnd w:id="151"/>
                  <w:bookmarkEnd w:id="152"/>
                  <w:r>
                    <w:rPr>
                      <w:rFonts w:hint="eastAsia"/>
                    </w:rPr>
                    <w:t>）</w:t>
                  </w:r>
                  <w:bookmarkEnd w:id="149"/>
                  <w:bookmarkEnd w:id="150"/>
                </w:p>
              </w:tc>
              <w:tc>
                <w:tcPr>
                  <w:tcW w:w="2019" w:type="dxa"/>
                  <w:vAlign w:val="center"/>
                </w:tcPr>
                <w:p>
                  <w:pPr>
                    <w:pStyle w:val="84"/>
                  </w:pPr>
                  <w:bookmarkStart w:id="153" w:name="OLE_LINK38"/>
                  <w:bookmarkStart w:id="154" w:name="OLE_LINK37"/>
                  <w:r>
                    <w:rPr>
                      <w:rFonts w:hint="eastAsia"/>
                      <w:b/>
                      <w:bCs/>
                    </w:rPr>
                    <w:t>万</w:t>
                  </w:r>
                  <w:r>
                    <w:rPr>
                      <w:rFonts w:hint="eastAsia" w:hAnsi="宋体"/>
                      <w:b/>
                      <w:bCs/>
                    </w:rPr>
                    <w:t>t/a</w:t>
                  </w:r>
                  <w:bookmarkEnd w:id="153"/>
                  <w:bookmarkEnd w:id="154"/>
                </w:p>
              </w:tc>
              <w:tc>
                <w:tcPr>
                  <w:tcW w:w="1417" w:type="dxa"/>
                  <w:vAlign w:val="center"/>
                </w:tcPr>
                <w:p>
                  <w:pPr>
                    <w:pStyle w:val="84"/>
                  </w:pPr>
                  <w:r>
                    <w:t>10</w:t>
                  </w:r>
                </w:p>
              </w:tc>
              <w:tc>
                <w:tcPr>
                  <w:tcW w:w="2913" w:type="dxa"/>
                </w:tcPr>
                <w:p>
                  <w:pPr>
                    <w:pStyle w:val="84"/>
                  </w:pPr>
                  <w:r>
                    <w:rPr>
                      <w:rFonts w:hint="eastAsia"/>
                      <w:highlight w:val="yellow"/>
                    </w:rPr>
                    <w:t>气化渣经过脱碳后的产品细砂（原处置方式为外售）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01" w:type="dxa"/>
                  <w:vAlign w:val="center"/>
                </w:tcPr>
                <w:p>
                  <w:pPr>
                    <w:pStyle w:val="84"/>
                  </w:pPr>
                  <w:r>
                    <w:rPr>
                      <w:rFonts w:hint="eastAsia"/>
                    </w:rPr>
                    <w:t>细泥（含水</w:t>
                  </w:r>
                  <w:r>
                    <w:t>50%</w:t>
                  </w:r>
                  <w:r>
                    <w:rPr>
                      <w:rFonts w:hint="eastAsia"/>
                    </w:rPr>
                    <w:t>）</w:t>
                  </w:r>
                </w:p>
              </w:tc>
              <w:tc>
                <w:tcPr>
                  <w:tcW w:w="2019" w:type="dxa"/>
                  <w:vAlign w:val="center"/>
                </w:tcPr>
                <w:p>
                  <w:pPr>
                    <w:pStyle w:val="84"/>
                    <w:rPr>
                      <w:b/>
                      <w:bCs/>
                    </w:rPr>
                  </w:pPr>
                  <w:r>
                    <w:rPr>
                      <w:rFonts w:hint="eastAsia"/>
                      <w:b/>
                      <w:bCs/>
                    </w:rPr>
                    <w:t>万</w:t>
                  </w:r>
                  <w:r>
                    <w:rPr>
                      <w:rFonts w:hint="eastAsia" w:hAnsi="宋体"/>
                      <w:b/>
                      <w:bCs/>
                    </w:rPr>
                    <w:t>t/a</w:t>
                  </w:r>
                </w:p>
              </w:tc>
              <w:tc>
                <w:tcPr>
                  <w:tcW w:w="1417" w:type="dxa"/>
                  <w:vAlign w:val="center"/>
                </w:tcPr>
                <w:p>
                  <w:pPr>
                    <w:pStyle w:val="84"/>
                  </w:pPr>
                  <w:r>
                    <w:rPr>
                      <w:rFonts w:hint="eastAsia"/>
                    </w:rPr>
                    <w:t>6</w:t>
                  </w:r>
                  <w:r>
                    <w:t>.46</w:t>
                  </w:r>
                </w:p>
              </w:tc>
              <w:tc>
                <w:tcPr>
                  <w:tcW w:w="2913" w:type="dxa"/>
                </w:tcPr>
                <w:p>
                  <w:pPr>
                    <w:pStyle w:val="84"/>
                  </w:pPr>
                  <w:r>
                    <w:rPr>
                      <w:rFonts w:hint="eastAsia"/>
                      <w:highlight w:val="yellow"/>
                    </w:rPr>
                    <w:t>脱碳工序产生的固废细泥（送往水泥公司处置）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01" w:type="dxa"/>
                  <w:vAlign w:val="center"/>
                </w:tcPr>
                <w:p>
                  <w:pPr>
                    <w:pStyle w:val="84"/>
                  </w:pPr>
                  <w:r>
                    <w:rPr>
                      <w:rFonts w:hint="eastAsia"/>
                    </w:rPr>
                    <w:t>水</w:t>
                  </w:r>
                </w:p>
              </w:tc>
              <w:tc>
                <w:tcPr>
                  <w:tcW w:w="2019" w:type="dxa"/>
                  <w:vAlign w:val="center"/>
                </w:tcPr>
                <w:p>
                  <w:pPr>
                    <w:pStyle w:val="84"/>
                    <w:rPr>
                      <w:b/>
                      <w:bCs/>
                    </w:rPr>
                  </w:pPr>
                  <w:r>
                    <w:rPr>
                      <w:rFonts w:hint="eastAsia"/>
                    </w:rPr>
                    <w:t>m</w:t>
                  </w:r>
                  <w:r>
                    <w:rPr>
                      <w:rFonts w:hint="eastAsia"/>
                      <w:vertAlign w:val="superscript"/>
                    </w:rPr>
                    <w:t>3</w:t>
                  </w:r>
                  <w:r>
                    <w:rPr>
                      <w:rFonts w:hint="eastAsia"/>
                    </w:rPr>
                    <w:t>/d</w:t>
                  </w:r>
                </w:p>
              </w:tc>
              <w:tc>
                <w:tcPr>
                  <w:tcW w:w="1417" w:type="dxa"/>
                  <w:vAlign w:val="center"/>
                </w:tcPr>
                <w:p>
                  <w:pPr>
                    <w:pStyle w:val="84"/>
                  </w:pPr>
                  <w:r>
                    <w:rPr>
                      <w:bCs/>
                    </w:rPr>
                    <w:t>101.31</w:t>
                  </w:r>
                </w:p>
              </w:tc>
              <w:tc>
                <w:tcPr>
                  <w:tcW w:w="2913" w:type="dxa"/>
                </w:tcPr>
                <w:p>
                  <w:pPr>
                    <w:pStyle w:val="84"/>
                  </w:pPr>
                  <w:r>
                    <w:rPr>
                      <w:bCs/>
                      <w:color w:val="000000" w:themeColor="text1"/>
                      <w14:textFill>
                        <w14:solidFill>
                          <w14:schemeClr w14:val="tx1"/>
                        </w14:solidFill>
                      </w14:textFill>
                    </w:rPr>
                    <w:t>园区供应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01" w:type="dxa"/>
                  <w:vAlign w:val="center"/>
                </w:tcPr>
                <w:p>
                  <w:pPr>
                    <w:pStyle w:val="84"/>
                  </w:pPr>
                  <w:r>
                    <w:rPr>
                      <w:rFonts w:hint="eastAsia"/>
                    </w:rPr>
                    <w:t>电</w:t>
                  </w:r>
                </w:p>
              </w:tc>
              <w:tc>
                <w:tcPr>
                  <w:tcW w:w="2019" w:type="dxa"/>
                  <w:vAlign w:val="center"/>
                </w:tcPr>
                <w:p>
                  <w:pPr>
                    <w:pStyle w:val="84"/>
                  </w:pPr>
                  <w:bookmarkStart w:id="155" w:name="OLE_LINK143"/>
                  <w:bookmarkStart w:id="156" w:name="OLE_LINK142"/>
                  <w:r>
                    <w:t>kW•h</w:t>
                  </w:r>
                  <w:r>
                    <w:rPr>
                      <w:rFonts w:hint="eastAsia" w:hAnsi="宋体"/>
                      <w:b/>
                      <w:bCs/>
                    </w:rPr>
                    <w:t>/a</w:t>
                  </w:r>
                  <w:bookmarkEnd w:id="155"/>
                  <w:bookmarkEnd w:id="156"/>
                </w:p>
              </w:tc>
              <w:tc>
                <w:tcPr>
                  <w:tcW w:w="1417" w:type="dxa"/>
                  <w:vAlign w:val="center"/>
                </w:tcPr>
                <w:p>
                  <w:pPr>
                    <w:pStyle w:val="84"/>
                  </w:pPr>
                  <w:r>
                    <w:rPr>
                      <w:rFonts w:hint="eastAsia"/>
                    </w:rPr>
                    <w:t>12万</w:t>
                  </w:r>
                </w:p>
              </w:tc>
              <w:tc>
                <w:tcPr>
                  <w:tcW w:w="2913" w:type="dxa"/>
                  <w:vAlign w:val="center"/>
                </w:tcPr>
                <w:p>
                  <w:pPr>
                    <w:pStyle w:val="84"/>
                  </w:pPr>
                  <w:r>
                    <w:rPr>
                      <w:rFonts w:hint="eastAsia"/>
                    </w:rPr>
                    <w:t>园区管网</w:t>
                  </w:r>
                </w:p>
              </w:tc>
            </w:tr>
            <w:bookmarkEnd w:id="146"/>
            <w:bookmarkEnd w:id="147"/>
            <w:bookmarkEnd w:id="148"/>
          </w:tbl>
          <w:p>
            <w:pPr>
              <w:pStyle w:val="92"/>
              <w:numPr>
                <w:ilvl w:val="0"/>
                <w:numId w:val="0"/>
              </w:numPr>
              <w:spacing w:before="120"/>
              <w:ind w:firstLine="480" w:firstLineChars="200"/>
              <w:rPr>
                <w:rFonts w:hint="default" w:ascii="Times New Roman" w:hAnsi="Times New Roman" w:cs="Times New Roman"/>
                <w:b w:val="0"/>
                <w:bCs w:val="0"/>
                <w:color w:val="auto"/>
              </w:rPr>
            </w:pPr>
            <w:r>
              <w:rPr>
                <w:rFonts w:ascii="Times New Roman" w:hAnsi="Times New Roman" w:cs="Times New Roman"/>
                <w:b w:val="0"/>
                <w:bCs w:val="0"/>
                <w:color w:val="auto"/>
              </w:rPr>
              <w:t>产品细砂及固废细泥成分见下表。</w:t>
            </w:r>
          </w:p>
          <w:p>
            <w:pPr>
              <w:pStyle w:val="89"/>
              <w:rPr>
                <w:rFonts w:hint="default" w:ascii="Times New Roman" w:hAnsi="Times New Roman" w:cs="Times New Roman"/>
                <w:color w:val="auto"/>
                <w:sz w:val="21"/>
              </w:rPr>
            </w:pPr>
            <w:r>
              <w:rPr>
                <w:rFonts w:hint="default" w:ascii="Times New Roman" w:hAnsi="Times New Roman" w:cs="Times New Roman"/>
                <w:color w:val="auto"/>
                <w:sz w:val="21"/>
                <w:highlight w:val="yellow"/>
              </w:rPr>
              <w:t>表2-10</w:t>
            </w:r>
            <w:r>
              <w:rPr>
                <w:rFonts w:ascii="Times New Roman" w:hAnsi="Times New Roman" w:cs="Times New Roman"/>
                <w:color w:val="auto"/>
                <w:sz w:val="21"/>
                <w:highlight w:val="yellow"/>
              </w:rPr>
              <w:t>原料成分一览表</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7"/>
              <w:gridCol w:w="584"/>
              <w:gridCol w:w="584"/>
              <w:gridCol w:w="654"/>
              <w:gridCol w:w="759"/>
              <w:gridCol w:w="689"/>
              <w:gridCol w:w="654"/>
              <w:gridCol w:w="584"/>
              <w:gridCol w:w="689"/>
              <w:gridCol w:w="759"/>
              <w:gridCol w:w="759"/>
              <w:gridCol w:w="759"/>
              <w:gridCol w:w="6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457" w:type="dxa"/>
                  <w:vMerge w:val="restart"/>
                  <w:vAlign w:val="center"/>
                </w:tcPr>
                <w:p>
                  <w:pPr>
                    <w:pStyle w:val="89"/>
                    <w:rPr>
                      <w:rFonts w:hint="default" w:ascii="Times New Roman" w:hAnsi="Times New Roman" w:cs="Times New Roman"/>
                      <w:color w:val="auto"/>
                    </w:rPr>
                  </w:pPr>
                  <w:r>
                    <w:rPr>
                      <w:rFonts w:ascii="Times New Roman" w:hAnsi="Times New Roman" w:cs="Times New Roman"/>
                      <w:color w:val="auto"/>
                    </w:rPr>
                    <w:t>种类</w:t>
                  </w:r>
                </w:p>
              </w:tc>
              <w:tc>
                <w:tcPr>
                  <w:tcW w:w="7997" w:type="dxa"/>
                  <w:gridSpan w:val="12"/>
                  <w:vAlign w:val="center"/>
                </w:tcPr>
                <w:p>
                  <w:pPr>
                    <w:pStyle w:val="89"/>
                    <w:rPr>
                      <w:rFonts w:hint="default" w:ascii="Times New Roman" w:hAnsi="Times New Roman" w:cs="Times New Roman"/>
                      <w:color w:val="auto"/>
                    </w:rPr>
                  </w:pPr>
                  <w:r>
                    <w:rPr>
                      <w:rFonts w:ascii="Times New Roman" w:hAnsi="Times New Roman" w:cs="Times New Roman"/>
                      <w:color w:val="auto"/>
                    </w:rPr>
                    <w:t>元素(</w:t>
                  </w:r>
                  <w:r>
                    <w:rPr>
                      <w:rFonts w:hint="default" w:ascii="Times New Roman" w:hAnsi="Times New Roman" w:cs="Times New Roman"/>
                      <w:color w:val="auto"/>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7" w:type="dxa"/>
                  <w:vMerge w:val="continue"/>
                  <w:vAlign w:val="center"/>
                </w:tcPr>
                <w:p>
                  <w:pPr>
                    <w:pStyle w:val="84"/>
                  </w:pPr>
                </w:p>
              </w:tc>
              <w:tc>
                <w:tcPr>
                  <w:tcW w:w="591" w:type="dxa"/>
                  <w:vAlign w:val="center"/>
                </w:tcPr>
                <w:p>
                  <w:pPr>
                    <w:pStyle w:val="84"/>
                  </w:pPr>
                  <w:r>
                    <w:rPr>
                      <w:rFonts w:hint="eastAsia"/>
                    </w:rPr>
                    <w:t>Fe</w:t>
                  </w:r>
                </w:p>
              </w:tc>
              <w:tc>
                <w:tcPr>
                  <w:tcW w:w="738" w:type="dxa"/>
                  <w:vAlign w:val="center"/>
                </w:tcPr>
                <w:p>
                  <w:pPr>
                    <w:pStyle w:val="84"/>
                  </w:pPr>
                  <w:r>
                    <w:rPr>
                      <w:rFonts w:hint="eastAsia"/>
                    </w:rPr>
                    <w:t>A</w:t>
                  </w:r>
                  <w:r>
                    <w:t>l</w:t>
                  </w:r>
                </w:p>
              </w:tc>
              <w:tc>
                <w:tcPr>
                  <w:tcW w:w="584" w:type="dxa"/>
                  <w:vAlign w:val="center"/>
                </w:tcPr>
                <w:p>
                  <w:pPr>
                    <w:pStyle w:val="84"/>
                  </w:pPr>
                  <w:r>
                    <w:rPr>
                      <w:rFonts w:hint="eastAsia"/>
                    </w:rPr>
                    <w:t>N</w:t>
                  </w:r>
                  <w:r>
                    <w:t>i</w:t>
                  </w:r>
                </w:p>
              </w:tc>
              <w:tc>
                <w:tcPr>
                  <w:tcW w:w="689" w:type="dxa"/>
                  <w:vAlign w:val="center"/>
                </w:tcPr>
                <w:p>
                  <w:pPr>
                    <w:pStyle w:val="84"/>
                  </w:pPr>
                  <w:r>
                    <w:rPr>
                      <w:rFonts w:hint="eastAsia"/>
                    </w:rPr>
                    <w:t>C</w:t>
                  </w:r>
                  <w:r>
                    <w:t>u</w:t>
                  </w:r>
                </w:p>
              </w:tc>
              <w:tc>
                <w:tcPr>
                  <w:tcW w:w="689" w:type="dxa"/>
                  <w:vAlign w:val="center"/>
                </w:tcPr>
                <w:p>
                  <w:pPr>
                    <w:pStyle w:val="84"/>
                  </w:pPr>
                  <w:r>
                    <w:rPr>
                      <w:rFonts w:hint="eastAsia"/>
                    </w:rPr>
                    <w:t>C</w:t>
                  </w:r>
                  <w:r>
                    <w:t>o</w:t>
                  </w:r>
                </w:p>
              </w:tc>
              <w:tc>
                <w:tcPr>
                  <w:tcW w:w="637" w:type="dxa"/>
                  <w:vAlign w:val="center"/>
                </w:tcPr>
                <w:p>
                  <w:pPr>
                    <w:pStyle w:val="84"/>
                  </w:pPr>
                  <w:r>
                    <w:rPr>
                      <w:rFonts w:hint="eastAsia"/>
                    </w:rPr>
                    <w:t>C</w:t>
                  </w:r>
                  <w:r>
                    <w:t>r</w:t>
                  </w:r>
                </w:p>
              </w:tc>
              <w:tc>
                <w:tcPr>
                  <w:tcW w:w="584" w:type="dxa"/>
                  <w:vAlign w:val="center"/>
                </w:tcPr>
                <w:p>
                  <w:pPr>
                    <w:pStyle w:val="84"/>
                  </w:pPr>
                  <w:r>
                    <w:rPr>
                      <w:rFonts w:hint="eastAsia"/>
                    </w:rPr>
                    <w:t>C</w:t>
                  </w:r>
                  <w:r>
                    <w:t>a</w:t>
                  </w:r>
                </w:p>
              </w:tc>
              <w:tc>
                <w:tcPr>
                  <w:tcW w:w="689" w:type="dxa"/>
                  <w:vAlign w:val="center"/>
                </w:tcPr>
                <w:p>
                  <w:pPr>
                    <w:pStyle w:val="84"/>
                  </w:pPr>
                  <w:r>
                    <w:rPr>
                      <w:rFonts w:hint="eastAsia"/>
                    </w:rPr>
                    <w:t>A</w:t>
                  </w:r>
                  <w:r>
                    <w:t>u</w:t>
                  </w:r>
                </w:p>
              </w:tc>
              <w:tc>
                <w:tcPr>
                  <w:tcW w:w="711" w:type="dxa"/>
                  <w:vAlign w:val="center"/>
                </w:tcPr>
                <w:p>
                  <w:pPr>
                    <w:pStyle w:val="84"/>
                  </w:pPr>
                  <w:r>
                    <w:rPr>
                      <w:rFonts w:hint="eastAsia"/>
                    </w:rPr>
                    <w:t>A</w:t>
                  </w:r>
                  <w:r>
                    <w:t>g</w:t>
                  </w:r>
                </w:p>
              </w:tc>
              <w:tc>
                <w:tcPr>
                  <w:tcW w:w="693" w:type="dxa"/>
                  <w:vAlign w:val="center"/>
                </w:tcPr>
                <w:p>
                  <w:pPr>
                    <w:pStyle w:val="84"/>
                  </w:pPr>
                  <w:r>
                    <w:rPr>
                      <w:rFonts w:hint="eastAsia"/>
                    </w:rPr>
                    <w:t>G</w:t>
                  </w:r>
                  <w:r>
                    <w:t>e</w:t>
                  </w:r>
                </w:p>
              </w:tc>
              <w:tc>
                <w:tcPr>
                  <w:tcW w:w="703" w:type="dxa"/>
                  <w:vAlign w:val="center"/>
                </w:tcPr>
                <w:p>
                  <w:pPr>
                    <w:pStyle w:val="84"/>
                  </w:pPr>
                  <w:r>
                    <w:rPr>
                      <w:rFonts w:hint="eastAsia"/>
                    </w:rPr>
                    <w:t>L</w:t>
                  </w:r>
                  <w:r>
                    <w:t>i</w:t>
                  </w:r>
                </w:p>
              </w:tc>
              <w:tc>
                <w:tcPr>
                  <w:tcW w:w="689" w:type="dxa"/>
                  <w:vAlign w:val="center"/>
                </w:tcPr>
                <w:p>
                  <w:pPr>
                    <w:pStyle w:val="84"/>
                  </w:pPr>
                  <w:r>
                    <w:rPr>
                      <w:rFonts w:hint="eastAsia"/>
                    </w:rPr>
                    <w:t>G</w:t>
                  </w:r>
                  <w: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7" w:type="dxa"/>
                  <w:vAlign w:val="center"/>
                </w:tcPr>
                <w:p>
                  <w:pPr>
                    <w:pStyle w:val="84"/>
                  </w:pPr>
                  <w:bookmarkStart w:id="157" w:name="OLE_LINK68"/>
                  <w:bookmarkStart w:id="158" w:name="OLE_LINK60"/>
                  <w:r>
                    <w:rPr>
                      <w:rFonts w:hint="eastAsia"/>
                    </w:rPr>
                    <w:t>细</w:t>
                  </w:r>
                  <w:bookmarkEnd w:id="157"/>
                  <w:bookmarkEnd w:id="158"/>
                  <w:r>
                    <w:rPr>
                      <w:rFonts w:hint="eastAsia"/>
                    </w:rPr>
                    <w:t>泥1</w:t>
                  </w:r>
                </w:p>
              </w:tc>
              <w:tc>
                <w:tcPr>
                  <w:tcW w:w="591" w:type="dxa"/>
                  <w:vAlign w:val="center"/>
                </w:tcPr>
                <w:p>
                  <w:pPr>
                    <w:pStyle w:val="84"/>
                  </w:pPr>
                  <w:r>
                    <w:rPr>
                      <w:rFonts w:hint="eastAsia"/>
                    </w:rPr>
                    <w:t>2</w:t>
                  </w:r>
                  <w:r>
                    <w:t>.93</w:t>
                  </w:r>
                </w:p>
              </w:tc>
              <w:tc>
                <w:tcPr>
                  <w:tcW w:w="738" w:type="dxa"/>
                  <w:vAlign w:val="center"/>
                </w:tcPr>
                <w:p>
                  <w:pPr>
                    <w:pStyle w:val="84"/>
                  </w:pPr>
                  <w:r>
                    <w:rPr>
                      <w:rFonts w:hint="eastAsia"/>
                    </w:rPr>
                    <w:t>3</w:t>
                  </w:r>
                  <w:r>
                    <w:t>.98</w:t>
                  </w:r>
                </w:p>
              </w:tc>
              <w:tc>
                <w:tcPr>
                  <w:tcW w:w="584" w:type="dxa"/>
                  <w:vAlign w:val="center"/>
                </w:tcPr>
                <w:p>
                  <w:pPr>
                    <w:pStyle w:val="84"/>
                  </w:pPr>
                  <w:r>
                    <w:rPr>
                      <w:rFonts w:hint="eastAsia"/>
                    </w:rPr>
                    <w:t>-</w:t>
                  </w:r>
                  <w:r>
                    <w:t>0.01</w:t>
                  </w:r>
                </w:p>
              </w:tc>
              <w:tc>
                <w:tcPr>
                  <w:tcW w:w="689" w:type="dxa"/>
                  <w:vAlign w:val="center"/>
                </w:tcPr>
                <w:p>
                  <w:pPr>
                    <w:pStyle w:val="84"/>
                  </w:pPr>
                  <w:r>
                    <w:rPr>
                      <w:rFonts w:hint="eastAsia"/>
                    </w:rPr>
                    <w:t>-</w:t>
                  </w:r>
                  <w:r>
                    <w:t>0.01</w:t>
                  </w:r>
                </w:p>
              </w:tc>
              <w:tc>
                <w:tcPr>
                  <w:tcW w:w="689" w:type="dxa"/>
                  <w:vAlign w:val="center"/>
                </w:tcPr>
                <w:p>
                  <w:pPr>
                    <w:pStyle w:val="84"/>
                  </w:pPr>
                  <w:r>
                    <w:rPr>
                      <w:rFonts w:hint="eastAsia"/>
                    </w:rPr>
                    <w:t>0</w:t>
                  </w:r>
                  <w:r>
                    <w:t>.008</w:t>
                  </w:r>
                </w:p>
              </w:tc>
              <w:tc>
                <w:tcPr>
                  <w:tcW w:w="637" w:type="dxa"/>
                  <w:vAlign w:val="center"/>
                </w:tcPr>
                <w:p>
                  <w:pPr>
                    <w:pStyle w:val="84"/>
                  </w:pPr>
                  <w:r>
                    <w:rPr>
                      <w:rFonts w:hint="eastAsia"/>
                    </w:rPr>
                    <w:t>-</w:t>
                  </w:r>
                  <w:r>
                    <w:t>0.01</w:t>
                  </w:r>
                </w:p>
              </w:tc>
              <w:tc>
                <w:tcPr>
                  <w:tcW w:w="584" w:type="dxa"/>
                  <w:vAlign w:val="center"/>
                </w:tcPr>
                <w:p>
                  <w:pPr>
                    <w:pStyle w:val="84"/>
                  </w:pPr>
                  <w:r>
                    <w:rPr>
                      <w:rFonts w:hint="eastAsia"/>
                    </w:rPr>
                    <w:t>5</w:t>
                  </w:r>
                  <w:r>
                    <w:t>.36</w:t>
                  </w:r>
                </w:p>
              </w:tc>
              <w:tc>
                <w:tcPr>
                  <w:tcW w:w="689" w:type="dxa"/>
                  <w:vAlign w:val="center"/>
                </w:tcPr>
                <w:p>
                  <w:pPr>
                    <w:pStyle w:val="84"/>
                  </w:pPr>
                  <w:r>
                    <w:rPr>
                      <w:rFonts w:hint="eastAsia"/>
                    </w:rPr>
                    <w:t>0</w:t>
                  </w:r>
                  <w:r>
                    <w:t>.001</w:t>
                  </w:r>
                </w:p>
              </w:tc>
              <w:tc>
                <w:tcPr>
                  <w:tcW w:w="711" w:type="dxa"/>
                  <w:vAlign w:val="center"/>
                </w:tcPr>
                <w:p>
                  <w:pPr>
                    <w:pStyle w:val="84"/>
                  </w:pPr>
                  <w:r>
                    <w:rPr>
                      <w:rFonts w:hint="eastAsia"/>
                    </w:rPr>
                    <w:t>-</w:t>
                  </w:r>
                  <w:r>
                    <w:t>0.001</w:t>
                  </w:r>
                </w:p>
              </w:tc>
              <w:tc>
                <w:tcPr>
                  <w:tcW w:w="693" w:type="dxa"/>
                  <w:vAlign w:val="center"/>
                </w:tcPr>
                <w:p>
                  <w:pPr>
                    <w:pStyle w:val="84"/>
                  </w:pPr>
                  <w:r>
                    <w:rPr>
                      <w:rFonts w:hint="eastAsia"/>
                    </w:rPr>
                    <w:t>-</w:t>
                  </w:r>
                  <w:r>
                    <w:t>0.001</w:t>
                  </w:r>
                </w:p>
              </w:tc>
              <w:tc>
                <w:tcPr>
                  <w:tcW w:w="703" w:type="dxa"/>
                  <w:vAlign w:val="center"/>
                </w:tcPr>
                <w:p>
                  <w:pPr>
                    <w:pStyle w:val="84"/>
                  </w:pPr>
                  <w:r>
                    <w:rPr>
                      <w:rFonts w:hint="eastAsia"/>
                    </w:rPr>
                    <w:t>-</w:t>
                  </w:r>
                  <w:r>
                    <w:t>0.001</w:t>
                  </w:r>
                </w:p>
              </w:tc>
              <w:tc>
                <w:tcPr>
                  <w:tcW w:w="689" w:type="dxa"/>
                  <w:vAlign w:val="center"/>
                </w:tcPr>
                <w:p>
                  <w:pPr>
                    <w:pStyle w:val="84"/>
                  </w:pPr>
                  <w:r>
                    <w:rPr>
                      <w:rFonts w:hint="eastAsia"/>
                    </w:rPr>
                    <w:t>0</w:t>
                  </w:r>
                  <w: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7" w:type="dxa"/>
                  <w:vAlign w:val="center"/>
                </w:tcPr>
                <w:p>
                  <w:pPr>
                    <w:pStyle w:val="84"/>
                  </w:pPr>
                  <w:r>
                    <w:rPr>
                      <w:rFonts w:hint="eastAsia"/>
                    </w:rPr>
                    <w:t>细泥</w:t>
                  </w:r>
                  <w:r>
                    <w:t>2</w:t>
                  </w:r>
                </w:p>
              </w:tc>
              <w:tc>
                <w:tcPr>
                  <w:tcW w:w="591" w:type="dxa"/>
                  <w:vAlign w:val="center"/>
                </w:tcPr>
                <w:p>
                  <w:pPr>
                    <w:pStyle w:val="84"/>
                  </w:pPr>
                  <w:r>
                    <w:rPr>
                      <w:rFonts w:hint="eastAsia"/>
                    </w:rPr>
                    <w:t>3</w:t>
                  </w:r>
                  <w:r>
                    <w:t>.43</w:t>
                  </w:r>
                </w:p>
              </w:tc>
              <w:tc>
                <w:tcPr>
                  <w:tcW w:w="738" w:type="dxa"/>
                  <w:vAlign w:val="center"/>
                </w:tcPr>
                <w:p>
                  <w:pPr>
                    <w:pStyle w:val="84"/>
                  </w:pPr>
                  <w:r>
                    <w:rPr>
                      <w:rFonts w:hint="eastAsia"/>
                    </w:rPr>
                    <w:t>4</w:t>
                  </w:r>
                  <w:r>
                    <w:t>.69</w:t>
                  </w:r>
                </w:p>
              </w:tc>
              <w:tc>
                <w:tcPr>
                  <w:tcW w:w="584" w:type="dxa"/>
                  <w:vAlign w:val="center"/>
                </w:tcPr>
                <w:p>
                  <w:pPr>
                    <w:pStyle w:val="84"/>
                  </w:pPr>
                  <w:r>
                    <w:rPr>
                      <w:rFonts w:hint="eastAsia"/>
                    </w:rPr>
                    <w:t>0</w:t>
                  </w:r>
                  <w:r>
                    <w:t>.01</w:t>
                  </w:r>
                </w:p>
              </w:tc>
              <w:tc>
                <w:tcPr>
                  <w:tcW w:w="689" w:type="dxa"/>
                  <w:vAlign w:val="center"/>
                </w:tcPr>
                <w:p>
                  <w:pPr>
                    <w:pStyle w:val="84"/>
                  </w:pPr>
                  <w:r>
                    <w:rPr>
                      <w:rFonts w:hint="eastAsia"/>
                    </w:rPr>
                    <w:t>-</w:t>
                  </w:r>
                  <w:r>
                    <w:t>0.01</w:t>
                  </w:r>
                </w:p>
              </w:tc>
              <w:tc>
                <w:tcPr>
                  <w:tcW w:w="689" w:type="dxa"/>
                  <w:vAlign w:val="center"/>
                </w:tcPr>
                <w:p>
                  <w:pPr>
                    <w:pStyle w:val="84"/>
                  </w:pPr>
                  <w:r>
                    <w:rPr>
                      <w:rFonts w:hint="eastAsia"/>
                    </w:rPr>
                    <w:t>0</w:t>
                  </w:r>
                  <w:r>
                    <w:t>.009</w:t>
                  </w:r>
                </w:p>
              </w:tc>
              <w:tc>
                <w:tcPr>
                  <w:tcW w:w="637" w:type="dxa"/>
                  <w:vAlign w:val="center"/>
                </w:tcPr>
                <w:p>
                  <w:pPr>
                    <w:pStyle w:val="84"/>
                  </w:pPr>
                  <w:r>
                    <w:rPr>
                      <w:rFonts w:hint="eastAsia"/>
                    </w:rPr>
                    <w:t>0</w:t>
                  </w:r>
                  <w:r>
                    <w:t>.01</w:t>
                  </w:r>
                </w:p>
              </w:tc>
              <w:tc>
                <w:tcPr>
                  <w:tcW w:w="584" w:type="dxa"/>
                  <w:vAlign w:val="center"/>
                </w:tcPr>
                <w:p>
                  <w:pPr>
                    <w:pStyle w:val="84"/>
                  </w:pPr>
                  <w:r>
                    <w:rPr>
                      <w:rFonts w:hint="eastAsia"/>
                    </w:rPr>
                    <w:t>6</w:t>
                  </w:r>
                  <w:r>
                    <w:t>.53</w:t>
                  </w:r>
                </w:p>
              </w:tc>
              <w:tc>
                <w:tcPr>
                  <w:tcW w:w="689" w:type="dxa"/>
                  <w:vAlign w:val="center"/>
                </w:tcPr>
                <w:p>
                  <w:pPr>
                    <w:pStyle w:val="84"/>
                  </w:pPr>
                  <w:r>
                    <w:rPr>
                      <w:rFonts w:hint="eastAsia"/>
                    </w:rPr>
                    <w:t>0</w:t>
                  </w:r>
                  <w:r>
                    <w:t>.001</w:t>
                  </w:r>
                </w:p>
              </w:tc>
              <w:tc>
                <w:tcPr>
                  <w:tcW w:w="711" w:type="dxa"/>
                  <w:vAlign w:val="center"/>
                </w:tcPr>
                <w:p>
                  <w:pPr>
                    <w:pStyle w:val="84"/>
                  </w:pPr>
                  <w:r>
                    <w:rPr>
                      <w:rFonts w:hint="eastAsia"/>
                    </w:rPr>
                    <w:t>-</w:t>
                  </w:r>
                  <w:r>
                    <w:t>0.001</w:t>
                  </w:r>
                </w:p>
              </w:tc>
              <w:tc>
                <w:tcPr>
                  <w:tcW w:w="693" w:type="dxa"/>
                  <w:vAlign w:val="center"/>
                </w:tcPr>
                <w:p>
                  <w:pPr>
                    <w:pStyle w:val="84"/>
                  </w:pPr>
                  <w:r>
                    <w:rPr>
                      <w:rFonts w:hint="eastAsia"/>
                    </w:rPr>
                    <w:t>0</w:t>
                  </w:r>
                  <w:r>
                    <w:t>.002</w:t>
                  </w:r>
                </w:p>
              </w:tc>
              <w:tc>
                <w:tcPr>
                  <w:tcW w:w="703" w:type="dxa"/>
                  <w:vAlign w:val="center"/>
                </w:tcPr>
                <w:p>
                  <w:pPr>
                    <w:pStyle w:val="84"/>
                  </w:pPr>
                  <w:r>
                    <w:rPr>
                      <w:rFonts w:hint="eastAsia"/>
                    </w:rPr>
                    <w:t>-</w:t>
                  </w:r>
                  <w:r>
                    <w:t>0.001</w:t>
                  </w:r>
                </w:p>
              </w:tc>
              <w:tc>
                <w:tcPr>
                  <w:tcW w:w="689" w:type="dxa"/>
                  <w:vAlign w:val="center"/>
                </w:tcPr>
                <w:p>
                  <w:pPr>
                    <w:pStyle w:val="84"/>
                  </w:pPr>
                  <w:r>
                    <w:rPr>
                      <w:rFonts w:hint="eastAsia"/>
                    </w:rPr>
                    <w:t>0</w:t>
                  </w:r>
                  <w: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7" w:type="dxa"/>
                  <w:vAlign w:val="center"/>
                </w:tcPr>
                <w:p>
                  <w:pPr>
                    <w:pStyle w:val="84"/>
                  </w:pPr>
                  <w:r>
                    <w:rPr>
                      <w:rFonts w:hint="eastAsia"/>
                    </w:rPr>
                    <w:t>细砂</w:t>
                  </w:r>
                </w:p>
              </w:tc>
              <w:tc>
                <w:tcPr>
                  <w:tcW w:w="591" w:type="dxa"/>
                  <w:vAlign w:val="center"/>
                </w:tcPr>
                <w:p>
                  <w:pPr>
                    <w:pStyle w:val="84"/>
                  </w:pPr>
                  <w:r>
                    <w:rPr>
                      <w:rFonts w:hint="eastAsia"/>
                    </w:rPr>
                    <w:t>7</w:t>
                  </w:r>
                  <w:r>
                    <w:t>.31</w:t>
                  </w:r>
                </w:p>
              </w:tc>
              <w:tc>
                <w:tcPr>
                  <w:tcW w:w="738" w:type="dxa"/>
                  <w:vAlign w:val="center"/>
                </w:tcPr>
                <w:p>
                  <w:pPr>
                    <w:pStyle w:val="84"/>
                  </w:pPr>
                  <w:r>
                    <w:rPr>
                      <w:rFonts w:hint="eastAsia"/>
                    </w:rPr>
                    <w:t>8</w:t>
                  </w:r>
                  <w:r>
                    <w:t>.07</w:t>
                  </w:r>
                </w:p>
              </w:tc>
              <w:tc>
                <w:tcPr>
                  <w:tcW w:w="584" w:type="dxa"/>
                  <w:vAlign w:val="center"/>
                </w:tcPr>
                <w:p>
                  <w:pPr>
                    <w:pStyle w:val="84"/>
                  </w:pPr>
                  <w:r>
                    <w:rPr>
                      <w:rFonts w:hint="eastAsia"/>
                    </w:rPr>
                    <w:t>0</w:t>
                  </w:r>
                  <w:r>
                    <w:t>.01</w:t>
                  </w:r>
                </w:p>
              </w:tc>
              <w:tc>
                <w:tcPr>
                  <w:tcW w:w="689" w:type="dxa"/>
                  <w:vAlign w:val="center"/>
                </w:tcPr>
                <w:p>
                  <w:pPr>
                    <w:pStyle w:val="84"/>
                  </w:pPr>
                  <w:r>
                    <w:rPr>
                      <w:rFonts w:hint="eastAsia"/>
                    </w:rPr>
                    <w:t>-</w:t>
                  </w:r>
                  <w:r>
                    <w:t>0.001</w:t>
                  </w:r>
                </w:p>
              </w:tc>
              <w:tc>
                <w:tcPr>
                  <w:tcW w:w="689" w:type="dxa"/>
                  <w:vAlign w:val="center"/>
                </w:tcPr>
                <w:p>
                  <w:pPr>
                    <w:pStyle w:val="84"/>
                  </w:pPr>
                  <w:r>
                    <w:rPr>
                      <w:rFonts w:hint="eastAsia"/>
                    </w:rPr>
                    <w:t>0</w:t>
                  </w:r>
                  <w:r>
                    <w:t>.01</w:t>
                  </w:r>
                </w:p>
              </w:tc>
              <w:tc>
                <w:tcPr>
                  <w:tcW w:w="637" w:type="dxa"/>
                  <w:vAlign w:val="center"/>
                </w:tcPr>
                <w:p>
                  <w:pPr>
                    <w:pStyle w:val="84"/>
                  </w:pPr>
                  <w:r>
                    <w:rPr>
                      <w:rFonts w:hint="eastAsia"/>
                    </w:rPr>
                    <w:t>0</w:t>
                  </w:r>
                  <w:r>
                    <w:t>.02</w:t>
                  </w:r>
                </w:p>
              </w:tc>
              <w:tc>
                <w:tcPr>
                  <w:tcW w:w="584" w:type="dxa"/>
                  <w:vAlign w:val="center"/>
                </w:tcPr>
                <w:p>
                  <w:pPr>
                    <w:pStyle w:val="84"/>
                  </w:pPr>
                  <w:r>
                    <w:rPr>
                      <w:rFonts w:hint="eastAsia"/>
                    </w:rPr>
                    <w:t>1</w:t>
                  </w:r>
                  <w:r>
                    <w:t>5.2</w:t>
                  </w:r>
                </w:p>
              </w:tc>
              <w:tc>
                <w:tcPr>
                  <w:tcW w:w="689" w:type="dxa"/>
                  <w:vAlign w:val="center"/>
                </w:tcPr>
                <w:p>
                  <w:pPr>
                    <w:pStyle w:val="84"/>
                  </w:pPr>
                  <w:r>
                    <w:rPr>
                      <w:rFonts w:hint="eastAsia"/>
                    </w:rPr>
                    <w:t>0</w:t>
                  </w:r>
                  <w:r>
                    <w:t>.002</w:t>
                  </w:r>
                </w:p>
              </w:tc>
              <w:tc>
                <w:tcPr>
                  <w:tcW w:w="711" w:type="dxa"/>
                  <w:vAlign w:val="center"/>
                </w:tcPr>
                <w:p>
                  <w:pPr>
                    <w:pStyle w:val="84"/>
                  </w:pPr>
                  <w:r>
                    <w:rPr>
                      <w:rFonts w:hint="eastAsia"/>
                    </w:rPr>
                    <w:t>-</w:t>
                  </w:r>
                  <w:r>
                    <w:t>0.001</w:t>
                  </w:r>
                </w:p>
              </w:tc>
              <w:tc>
                <w:tcPr>
                  <w:tcW w:w="693" w:type="dxa"/>
                  <w:vAlign w:val="center"/>
                </w:tcPr>
                <w:p>
                  <w:pPr>
                    <w:pStyle w:val="84"/>
                  </w:pPr>
                  <w:r>
                    <w:rPr>
                      <w:rFonts w:hint="eastAsia"/>
                    </w:rPr>
                    <w:t>-</w:t>
                  </w:r>
                  <w:r>
                    <w:t>0.001</w:t>
                  </w:r>
                </w:p>
              </w:tc>
              <w:tc>
                <w:tcPr>
                  <w:tcW w:w="703" w:type="dxa"/>
                  <w:vAlign w:val="center"/>
                </w:tcPr>
                <w:p>
                  <w:pPr>
                    <w:pStyle w:val="84"/>
                  </w:pPr>
                  <w:r>
                    <w:rPr>
                      <w:rFonts w:hint="eastAsia"/>
                    </w:rPr>
                    <w:t>0</w:t>
                  </w:r>
                  <w:r>
                    <w:t>.003</w:t>
                  </w:r>
                </w:p>
              </w:tc>
              <w:tc>
                <w:tcPr>
                  <w:tcW w:w="689" w:type="dxa"/>
                  <w:vAlign w:val="center"/>
                </w:tcPr>
                <w:p>
                  <w:pPr>
                    <w:pStyle w:val="84"/>
                  </w:pPr>
                  <w:r>
                    <w:rPr>
                      <w:rFonts w:hint="eastAsia"/>
                    </w:rPr>
                    <w:t>0</w:t>
                  </w:r>
                  <w:r>
                    <w:t>.001</w:t>
                  </w:r>
                </w:p>
              </w:tc>
            </w:tr>
          </w:tbl>
          <w:p>
            <w:pPr>
              <w:pStyle w:val="92"/>
              <w:spacing w:before="120"/>
              <w:rPr>
                <w:rFonts w:hint="default" w:ascii="Times New Roman" w:hAnsi="Times New Roman" w:cs="Times New Roman"/>
                <w:color w:val="auto"/>
              </w:rPr>
            </w:pPr>
            <w:r>
              <w:rPr>
                <w:rFonts w:hint="default" w:ascii="Times New Roman" w:hAnsi="Times New Roman" w:cs="Times New Roman"/>
                <w:color w:val="auto"/>
              </w:rPr>
              <w:t>产品方案</w:t>
            </w:r>
          </w:p>
          <w:p>
            <w:pPr>
              <w:pStyle w:val="82"/>
              <w:rPr>
                <w:rFonts w:hint="default" w:ascii="Times New Roman" w:hAnsi="Times New Roman" w:cs="Times New Roman"/>
              </w:rPr>
            </w:pPr>
            <w:r>
              <w:rPr>
                <w:rFonts w:hint="default" w:ascii="Times New Roman" w:hAnsi="Times New Roman" w:cs="Times New Roman"/>
              </w:rPr>
              <w:t>本项目产品方案见下表。</w:t>
            </w:r>
          </w:p>
          <w:p>
            <w:pPr>
              <w:pStyle w:val="89"/>
              <w:rPr>
                <w:rFonts w:hint="default" w:ascii="Times New Roman" w:hAnsi="Times New Roman" w:cs="Times New Roman"/>
                <w:color w:val="auto"/>
                <w:sz w:val="21"/>
              </w:rPr>
            </w:pPr>
            <w:bookmarkStart w:id="159" w:name="OLE_LINK158"/>
            <w:bookmarkStart w:id="160" w:name="OLE_LINK169"/>
            <w:r>
              <w:rPr>
                <w:rFonts w:hint="default" w:ascii="Times New Roman" w:hAnsi="Times New Roman" w:cs="Times New Roman"/>
                <w:color w:val="auto"/>
                <w:sz w:val="21"/>
              </w:rPr>
              <w:t>表2-11 产品方案表</w:t>
            </w:r>
          </w:p>
          <w:bookmarkEnd w:id="159"/>
          <w:bookmarkEnd w:id="160"/>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08"/>
              <w:gridCol w:w="1822"/>
              <w:gridCol w:w="3036"/>
              <w:gridCol w:w="9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29" w:type="pct"/>
                  <w:vAlign w:val="center"/>
                </w:tcPr>
                <w:p>
                  <w:pPr>
                    <w:pStyle w:val="89"/>
                    <w:rPr>
                      <w:rFonts w:hint="default" w:ascii="Times New Roman" w:hAnsi="Times New Roman" w:cs="Times New Roman"/>
                      <w:color w:val="auto"/>
                    </w:rPr>
                  </w:pPr>
                  <w:bookmarkStart w:id="161" w:name="OLE_LINK27"/>
                  <w:bookmarkStart w:id="162" w:name="OLE_LINK265"/>
                  <w:bookmarkStart w:id="163" w:name="_Hlk209512638"/>
                  <w:bookmarkStart w:id="164" w:name="OLE_LINK211"/>
                  <w:r>
                    <w:rPr>
                      <w:rFonts w:hint="default" w:ascii="Times New Roman" w:hAnsi="Times New Roman" w:cs="Times New Roman"/>
                      <w:color w:val="auto"/>
                    </w:rPr>
                    <w:t>产品</w:t>
                  </w:r>
                </w:p>
              </w:tc>
              <w:tc>
                <w:tcPr>
                  <w:tcW w:w="1057" w:type="pct"/>
                  <w:vAlign w:val="center"/>
                </w:tcPr>
                <w:p>
                  <w:pPr>
                    <w:pStyle w:val="89"/>
                    <w:rPr>
                      <w:rFonts w:hint="default" w:ascii="Times New Roman" w:hAnsi="Times New Roman" w:cs="Times New Roman"/>
                      <w:color w:val="auto"/>
                    </w:rPr>
                  </w:pPr>
                  <w:r>
                    <w:rPr>
                      <w:rFonts w:hint="default" w:ascii="Times New Roman" w:hAnsi="Times New Roman" w:cs="Times New Roman"/>
                      <w:color w:val="auto"/>
                    </w:rPr>
                    <w:t>数量（万t/a）</w:t>
                  </w:r>
                </w:p>
              </w:tc>
              <w:tc>
                <w:tcPr>
                  <w:tcW w:w="1761" w:type="pct"/>
                  <w:vAlign w:val="center"/>
                </w:tcPr>
                <w:p>
                  <w:pPr>
                    <w:pStyle w:val="89"/>
                    <w:rPr>
                      <w:rFonts w:hint="default" w:ascii="Times New Roman" w:hAnsi="Times New Roman" w:cs="Times New Roman"/>
                      <w:color w:val="auto"/>
                    </w:rPr>
                  </w:pPr>
                  <w:r>
                    <w:rPr>
                      <w:rFonts w:ascii="Times New Roman" w:hAnsi="Times New Roman" w:cs="Times New Roman"/>
                      <w:color w:val="auto"/>
                    </w:rPr>
                    <w:t>产品标准</w:t>
                  </w:r>
                </w:p>
              </w:tc>
              <w:tc>
                <w:tcPr>
                  <w:tcW w:w="553" w:type="pct"/>
                  <w:vAlign w:val="center"/>
                </w:tcPr>
                <w:p>
                  <w:pPr>
                    <w:pStyle w:val="89"/>
                    <w:rPr>
                      <w:rFonts w:hint="default" w:ascii="Times New Roman" w:hAnsi="Times New Roman" w:cs="Times New Roman"/>
                      <w:color w:val="auto"/>
                    </w:rPr>
                  </w:pPr>
                  <w:r>
                    <w:rPr>
                      <w:rFonts w:ascii="Times New Roman" w:hAnsi="Times New Roman" w:cs="Times New Roman"/>
                      <w:color w:val="auto"/>
                    </w:rPr>
                    <w:t>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29" w:type="pct"/>
                  <w:vAlign w:val="center"/>
                </w:tcPr>
                <w:p>
                  <w:pPr>
                    <w:pStyle w:val="84"/>
                  </w:pPr>
                  <w:bookmarkStart w:id="165" w:name="OLE_LINK87"/>
                  <w:bookmarkStart w:id="166" w:name="OLE_LINK86"/>
                  <w:bookmarkStart w:id="167" w:name="_Hlk209528933"/>
                  <w:r>
                    <w:rPr>
                      <w:rFonts w:hint="eastAsia"/>
                    </w:rPr>
                    <w:t>铁精粉</w:t>
                  </w:r>
                  <w:bookmarkEnd w:id="165"/>
                  <w:bookmarkEnd w:id="166"/>
                  <w:bookmarkStart w:id="168" w:name="OLE_LINK54"/>
                  <w:bookmarkStart w:id="169" w:name="OLE_LINK53"/>
                  <w:r>
                    <w:rPr>
                      <w:rFonts w:hint="eastAsia"/>
                    </w:rPr>
                    <w:t>（含水</w:t>
                  </w:r>
                  <w:r>
                    <w:rPr>
                      <w:b/>
                      <w:bCs/>
                    </w:rPr>
                    <w:t>≤</w:t>
                  </w:r>
                  <w:r>
                    <w:t>25%</w:t>
                  </w:r>
                  <w:r>
                    <w:rPr>
                      <w:rFonts w:hint="eastAsia"/>
                    </w:rPr>
                    <w:t>）</w:t>
                  </w:r>
                  <w:bookmarkEnd w:id="168"/>
                  <w:bookmarkEnd w:id="169"/>
                </w:p>
              </w:tc>
              <w:tc>
                <w:tcPr>
                  <w:tcW w:w="1057" w:type="pct"/>
                  <w:vAlign w:val="center"/>
                </w:tcPr>
                <w:p>
                  <w:pPr>
                    <w:pStyle w:val="84"/>
                  </w:pPr>
                  <w:bookmarkStart w:id="170" w:name="OLE_LINK35"/>
                  <w:bookmarkStart w:id="171" w:name="OLE_LINK36"/>
                  <w:r>
                    <w:rPr>
                      <w:rFonts w:hint="eastAsia"/>
                    </w:rPr>
                    <w:t>1.</w:t>
                  </w:r>
                  <w:bookmarkEnd w:id="170"/>
                  <w:bookmarkEnd w:id="171"/>
                  <w:r>
                    <w:t>4814</w:t>
                  </w:r>
                </w:p>
              </w:tc>
              <w:tc>
                <w:tcPr>
                  <w:tcW w:w="1761" w:type="pct"/>
                  <w:vAlign w:val="center"/>
                </w:tcPr>
                <w:p>
                  <w:pPr>
                    <w:pStyle w:val="84"/>
                  </w:pPr>
                  <w:bookmarkStart w:id="172" w:name="OLE_LINK253"/>
                  <w:bookmarkStart w:id="173" w:name="OLE_LINK254"/>
                  <w:r>
                    <w:rPr>
                      <w:rFonts w:hint="eastAsia"/>
                    </w:rPr>
                    <w:t>《铁精矿》</w:t>
                  </w:r>
                  <w:r>
                    <w:t>GB/T 36704-2018</w:t>
                  </w:r>
                  <w:bookmarkEnd w:id="172"/>
                  <w:bookmarkEnd w:id="173"/>
                </w:p>
              </w:tc>
              <w:tc>
                <w:tcPr>
                  <w:tcW w:w="553" w:type="pct"/>
                  <w:vAlign w:val="center"/>
                </w:tcPr>
                <w:p>
                  <w:pPr>
                    <w:pStyle w:val="84"/>
                  </w:pPr>
                  <w:bookmarkStart w:id="174" w:name="OLE_LINK178"/>
                  <w:bookmarkStart w:id="175" w:name="OLE_LINK179"/>
                  <w:r>
                    <w:rPr>
                      <w:rFonts w:hint="eastAsia"/>
                    </w:rPr>
                    <w:t>外售</w:t>
                  </w:r>
                  <w:bookmarkEnd w:id="174"/>
                  <w:bookmarkEnd w:id="175"/>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29" w:type="pct"/>
                  <w:vAlign w:val="center"/>
                </w:tcPr>
                <w:p>
                  <w:pPr>
                    <w:pStyle w:val="84"/>
                    <w:rPr>
                      <w:highlight w:val="yellow"/>
                    </w:rPr>
                  </w:pPr>
                  <w:bookmarkStart w:id="176" w:name="OLE_LINK219"/>
                  <w:bookmarkStart w:id="177" w:name="OLE_LINK15"/>
                  <w:bookmarkStart w:id="178" w:name="OLE_LINK16"/>
                  <w:bookmarkStart w:id="179" w:name="OLE_LINK69"/>
                  <w:bookmarkStart w:id="180" w:name="OLE_LINK155"/>
                  <w:bookmarkStart w:id="181" w:name="_Hlk213426755"/>
                  <w:r>
                    <w:rPr>
                      <w:rFonts w:hint="eastAsia"/>
                      <w:highlight w:val="yellow"/>
                    </w:rPr>
                    <w:t>高纯度钙、镁产品</w:t>
                  </w:r>
                  <w:bookmarkEnd w:id="176"/>
                  <w:bookmarkEnd w:id="177"/>
                  <w:bookmarkEnd w:id="178"/>
                  <w:bookmarkEnd w:id="179"/>
                  <w:bookmarkEnd w:id="180"/>
                  <w:r>
                    <w:rPr>
                      <w:rFonts w:hint="eastAsia"/>
                      <w:highlight w:val="yellow"/>
                    </w:rPr>
                    <w:t>（含水</w:t>
                  </w:r>
                  <w:r>
                    <w:rPr>
                      <w:b/>
                      <w:bCs/>
                      <w:highlight w:val="yellow"/>
                    </w:rPr>
                    <w:t>≤</w:t>
                  </w:r>
                  <w:r>
                    <w:rPr>
                      <w:highlight w:val="yellow"/>
                    </w:rPr>
                    <w:t>20%</w:t>
                  </w:r>
                  <w:r>
                    <w:rPr>
                      <w:rFonts w:hint="eastAsia"/>
                      <w:highlight w:val="yellow"/>
                    </w:rPr>
                    <w:t>）</w:t>
                  </w:r>
                  <w:bookmarkEnd w:id="181"/>
                </w:p>
              </w:tc>
              <w:tc>
                <w:tcPr>
                  <w:tcW w:w="1057" w:type="pct"/>
                  <w:vAlign w:val="center"/>
                </w:tcPr>
                <w:p>
                  <w:pPr>
                    <w:pStyle w:val="84"/>
                    <w:rPr>
                      <w:highlight w:val="yellow"/>
                    </w:rPr>
                  </w:pPr>
                  <w:r>
                    <w:rPr>
                      <w:rFonts w:hint="eastAsia"/>
                      <w:highlight w:val="yellow"/>
                    </w:rPr>
                    <w:t>1.</w:t>
                  </w:r>
                  <w:r>
                    <w:rPr>
                      <w:highlight w:val="yellow"/>
                    </w:rPr>
                    <w:t>8106</w:t>
                  </w:r>
                </w:p>
              </w:tc>
              <w:tc>
                <w:tcPr>
                  <w:tcW w:w="1761" w:type="pct"/>
                  <w:vAlign w:val="center"/>
                </w:tcPr>
                <w:p>
                  <w:pPr>
                    <w:pStyle w:val="84"/>
                    <w:rPr>
                      <w:highlight w:val="yellow"/>
                    </w:rPr>
                  </w:pPr>
                  <w:bookmarkStart w:id="182" w:name="OLE_LINK335"/>
                  <w:bookmarkStart w:id="183" w:name="OLE_LINK258"/>
                  <w:bookmarkStart w:id="184" w:name="OLE_LINK257"/>
                  <w:bookmarkStart w:id="185" w:name="_Hlk213426797"/>
                  <w:r>
                    <w:rPr>
                      <w:rFonts w:hint="eastAsia"/>
                      <w:highlight w:val="yellow"/>
                    </w:rPr>
                    <w:t>《纳米碳酸钙》</w:t>
                  </w:r>
                  <w:r>
                    <w:rPr>
                      <w:highlight w:val="yellow"/>
                    </w:rPr>
                    <w:t>GB/T 19590-2023</w:t>
                  </w:r>
                  <w:bookmarkEnd w:id="182"/>
                  <w:bookmarkEnd w:id="183"/>
                  <w:bookmarkEnd w:id="184"/>
                  <w:bookmarkEnd w:id="185"/>
                </w:p>
              </w:tc>
              <w:tc>
                <w:tcPr>
                  <w:tcW w:w="553" w:type="pct"/>
                  <w:vAlign w:val="center"/>
                </w:tcPr>
                <w:p>
                  <w:pPr>
                    <w:pStyle w:val="84"/>
                  </w:pPr>
                  <w:r>
                    <w:rPr>
                      <w:rFonts w:hint="eastAsia"/>
                    </w:rPr>
                    <w:t>外售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29" w:type="pct"/>
                  <w:vAlign w:val="center"/>
                </w:tcPr>
                <w:p>
                  <w:pPr>
                    <w:pStyle w:val="84"/>
                  </w:pPr>
                  <w:bookmarkStart w:id="186" w:name="OLE_LINK174"/>
                  <w:bookmarkStart w:id="187" w:name="OLE_LINK175"/>
                  <w:r>
                    <w:rPr>
                      <w:rFonts w:hint="eastAsia"/>
                    </w:rPr>
                    <w:t>含硅战略金属富集矿</w:t>
                  </w:r>
                  <w:bookmarkEnd w:id="186"/>
                  <w:bookmarkEnd w:id="187"/>
                  <w:r>
                    <w:rPr>
                      <w:rFonts w:hint="eastAsia"/>
                    </w:rPr>
                    <w:t>（含水</w:t>
                  </w:r>
                  <w:r>
                    <w:rPr>
                      <w:b/>
                      <w:bCs/>
                    </w:rPr>
                    <w:t>≤</w:t>
                  </w:r>
                  <w:r>
                    <w:t>25</w:t>
                  </w:r>
                  <w:r>
                    <w:rPr>
                      <w:rFonts w:hint="eastAsia"/>
                    </w:rPr>
                    <w:t>%）</w:t>
                  </w:r>
                </w:p>
              </w:tc>
              <w:tc>
                <w:tcPr>
                  <w:tcW w:w="1057" w:type="pct"/>
                  <w:vAlign w:val="center"/>
                </w:tcPr>
                <w:p>
                  <w:pPr>
                    <w:pStyle w:val="84"/>
                  </w:pPr>
                  <w:r>
                    <w:rPr>
                      <w:rFonts w:hint="eastAsia"/>
                    </w:rPr>
                    <w:t>1.</w:t>
                  </w:r>
                  <w:r>
                    <w:t>646</w:t>
                  </w:r>
                </w:p>
              </w:tc>
              <w:tc>
                <w:tcPr>
                  <w:tcW w:w="1761" w:type="pct"/>
                  <w:vAlign w:val="center"/>
                </w:tcPr>
                <w:p>
                  <w:pPr>
                    <w:pStyle w:val="84"/>
                  </w:pPr>
                  <w:bookmarkStart w:id="188" w:name="OLE_LINK261"/>
                  <w:bookmarkStart w:id="189" w:name="OLE_LINK260"/>
                  <w:r>
                    <w:rPr>
                      <w:rFonts w:hint="eastAsia"/>
                    </w:rPr>
                    <w:t>《高岭土及其试验方法》</w:t>
                  </w:r>
                  <w:r>
                    <w:t>GB/T 14563-2020</w:t>
                  </w:r>
                  <w:bookmarkEnd w:id="188"/>
                  <w:bookmarkEnd w:id="189"/>
                </w:p>
              </w:tc>
              <w:tc>
                <w:tcPr>
                  <w:tcW w:w="553" w:type="pct"/>
                  <w:vAlign w:val="center"/>
                </w:tcPr>
                <w:p>
                  <w:pPr>
                    <w:pStyle w:val="84"/>
                  </w:pPr>
                  <w:r>
                    <w:rPr>
                      <w:rFonts w:hint="eastAsia"/>
                    </w:rPr>
                    <w:t>外售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29" w:type="pct"/>
                  <w:vAlign w:val="center"/>
                </w:tcPr>
                <w:p>
                  <w:pPr>
                    <w:pStyle w:val="84"/>
                  </w:pPr>
                  <w:bookmarkStart w:id="190" w:name="OLE_LINK244"/>
                  <w:bookmarkStart w:id="191" w:name="OLE_LINK252"/>
                  <w:bookmarkStart w:id="192" w:name="OLE_LINK184"/>
                  <w:bookmarkStart w:id="193" w:name="OLE_LINK176"/>
                  <w:r>
                    <w:rPr>
                      <w:rFonts w:hint="eastAsia"/>
                    </w:rPr>
                    <w:t>土壤修复剂</w:t>
                  </w:r>
                  <w:bookmarkEnd w:id="190"/>
                  <w:bookmarkEnd w:id="191"/>
                  <w:r>
                    <w:rPr>
                      <w:rFonts w:hint="eastAsia"/>
                    </w:rPr>
                    <w:t>（含水</w:t>
                  </w:r>
                  <w:r>
                    <w:rPr>
                      <w:b/>
                      <w:bCs/>
                    </w:rPr>
                    <w:t>≤</w:t>
                  </w:r>
                  <w:r>
                    <w:t>25</w:t>
                  </w:r>
                  <w:r>
                    <w:rPr>
                      <w:rFonts w:hint="eastAsia"/>
                    </w:rPr>
                    <w:t>%）</w:t>
                  </w:r>
                  <w:bookmarkEnd w:id="192"/>
                  <w:bookmarkEnd w:id="193"/>
                </w:p>
              </w:tc>
              <w:tc>
                <w:tcPr>
                  <w:tcW w:w="1057" w:type="pct"/>
                  <w:vAlign w:val="center"/>
                </w:tcPr>
                <w:p>
                  <w:pPr>
                    <w:pStyle w:val="84"/>
                  </w:pPr>
                  <w:r>
                    <w:rPr>
                      <w:rFonts w:hint="eastAsia"/>
                    </w:rPr>
                    <w:t>11</w:t>
                  </w:r>
                  <w:r>
                    <w:t>.</w:t>
                  </w:r>
                  <w:r>
                    <w:rPr>
                      <w:rFonts w:hint="eastAsia"/>
                    </w:rPr>
                    <w:t>522</w:t>
                  </w:r>
                </w:p>
              </w:tc>
              <w:tc>
                <w:tcPr>
                  <w:tcW w:w="1761" w:type="pct"/>
                  <w:vAlign w:val="center"/>
                </w:tcPr>
                <w:p>
                  <w:pPr>
                    <w:pStyle w:val="84"/>
                  </w:pPr>
                  <w:bookmarkStart w:id="194" w:name="OLE_LINK280"/>
                  <w:bookmarkStart w:id="195" w:name="OLE_LINK262"/>
                  <w:bookmarkStart w:id="196" w:name="OLE_LINK263"/>
                  <w:r>
                    <w:rPr>
                      <w:rFonts w:hint="eastAsia"/>
                    </w:rPr>
                    <w:t>《典型大宗固体废物土壤化利用技术导则》</w:t>
                  </w:r>
                  <w:r>
                    <w:t>T/CI 015-2023</w:t>
                  </w:r>
                  <w:bookmarkEnd w:id="194"/>
                  <w:bookmarkEnd w:id="195"/>
                  <w:bookmarkEnd w:id="196"/>
                </w:p>
              </w:tc>
              <w:tc>
                <w:tcPr>
                  <w:tcW w:w="553" w:type="pct"/>
                  <w:vAlign w:val="center"/>
                </w:tcPr>
                <w:p>
                  <w:pPr>
                    <w:pStyle w:val="84"/>
                  </w:pPr>
                  <w:r>
                    <w:rPr>
                      <w:rFonts w:hint="eastAsia"/>
                    </w:rPr>
                    <w:t>外售</w:t>
                  </w:r>
                </w:p>
              </w:tc>
            </w:tr>
            <w:bookmarkEnd w:id="161"/>
            <w:bookmarkEnd w:id="162"/>
            <w:bookmarkEnd w:id="163"/>
            <w:bookmarkEnd w:id="164"/>
            <w:bookmarkEnd w:id="167"/>
          </w:tbl>
          <w:p>
            <w:pPr>
              <w:pStyle w:val="92"/>
              <w:numPr>
                <w:ilvl w:val="0"/>
                <w:numId w:val="0"/>
              </w:numPr>
              <w:spacing w:before="120"/>
              <w:rPr>
                <w:rFonts w:hint="default" w:ascii="Times New Roman" w:hAnsi="Times New Roman" w:cs="Times New Roman"/>
                <w:b w:val="0"/>
                <w:bCs w:val="0"/>
                <w:color w:val="auto"/>
              </w:rPr>
            </w:pPr>
            <w:r>
              <w:rPr>
                <w:rFonts w:ascii="Times New Roman" w:hAnsi="Times New Roman" w:cs="Times New Roman"/>
                <w:color w:val="auto"/>
              </w:rPr>
              <w:t xml:space="preserve"> </w:t>
            </w:r>
            <w:r>
              <w:rPr>
                <w:rFonts w:hint="default" w:ascii="Times New Roman" w:hAnsi="Times New Roman" w:cs="Times New Roman"/>
                <w:color w:val="auto"/>
              </w:rPr>
              <w:t xml:space="preserve"> </w:t>
            </w:r>
            <w:bookmarkStart w:id="197" w:name="OLE_LINK267"/>
            <w:bookmarkStart w:id="198" w:name="OLE_LINK266"/>
            <w:r>
              <w:rPr>
                <w:rFonts w:hint="default" w:ascii="Times New Roman" w:hAnsi="Times New Roman" w:cs="Times New Roman"/>
                <w:color w:val="auto"/>
              </w:rPr>
              <w:t xml:space="preserve"> </w:t>
            </w:r>
            <w:r>
              <w:rPr>
                <w:rFonts w:ascii="Times New Roman" w:hAnsi="Times New Roman" w:cs="Times New Roman"/>
                <w:b w:val="0"/>
                <w:bCs w:val="0"/>
                <w:color w:val="auto"/>
              </w:rPr>
              <w:t>各产品理化指标见下表。</w:t>
            </w:r>
          </w:p>
          <w:p>
            <w:pPr>
              <w:pStyle w:val="89"/>
              <w:rPr>
                <w:rFonts w:hint="default" w:ascii="Times New Roman" w:hAnsi="Times New Roman" w:cs="Times New Roman"/>
                <w:color w:val="auto"/>
                <w:sz w:val="21"/>
              </w:rPr>
            </w:pPr>
            <w:bookmarkStart w:id="199" w:name="OLE_LINK217"/>
            <w:bookmarkStart w:id="200" w:name="OLE_LINK218"/>
            <w:r>
              <w:rPr>
                <w:rFonts w:ascii="Times New Roman" w:hAnsi="Times New Roman" w:cs="Times New Roman"/>
                <w:color w:val="auto"/>
                <w:sz w:val="21"/>
              </w:rPr>
              <w:t>表2-</w:t>
            </w:r>
            <w:r>
              <w:rPr>
                <w:rFonts w:hint="default" w:ascii="Times New Roman" w:hAnsi="Times New Roman" w:cs="Times New Roman"/>
                <w:color w:val="auto"/>
                <w:sz w:val="21"/>
              </w:rPr>
              <w:t>12</w:t>
            </w:r>
            <w:r>
              <w:rPr>
                <w:rFonts w:ascii="Times New Roman" w:hAnsi="Times New Roman" w:cs="Times New Roman"/>
                <w:color w:val="auto"/>
                <w:sz w:val="21"/>
              </w:rPr>
              <w:t>铁精粉</w:t>
            </w:r>
            <w:bookmarkStart w:id="201" w:name="OLE_LINK237"/>
            <w:bookmarkStart w:id="202" w:name="OLE_LINK236"/>
            <w:r>
              <w:rPr>
                <w:rFonts w:ascii="Times New Roman" w:hAnsi="Times New Roman" w:cs="Times New Roman"/>
                <w:color w:val="auto"/>
                <w:sz w:val="21"/>
              </w:rPr>
              <w:t>理化指标</w:t>
            </w:r>
            <w:bookmarkEnd w:id="201"/>
            <w:bookmarkEnd w:id="202"/>
          </w:p>
          <w:bookmarkEnd w:id="199"/>
          <w:bookmarkEnd w:id="200"/>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6"/>
              <w:gridCol w:w="1560"/>
              <w:gridCol w:w="1193"/>
              <w:gridCol w:w="1206"/>
              <w:gridCol w:w="1206"/>
              <w:gridCol w:w="790"/>
              <w:gridCol w:w="16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6" w:type="dxa"/>
                  <w:vMerge w:val="restart"/>
                  <w:vAlign w:val="center"/>
                </w:tcPr>
                <w:p>
                  <w:pPr>
                    <w:pStyle w:val="92"/>
                    <w:numPr>
                      <w:ilvl w:val="0"/>
                      <w:numId w:val="0"/>
                    </w:numPr>
                    <w:spacing w:before="0" w:beforeLines="0"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级别</w:t>
                  </w:r>
                </w:p>
              </w:tc>
              <w:tc>
                <w:tcPr>
                  <w:tcW w:w="7589" w:type="dxa"/>
                  <w:gridSpan w:val="6"/>
                  <w:vAlign w:val="center"/>
                </w:tcPr>
                <w:p>
                  <w:pPr>
                    <w:pStyle w:val="92"/>
                    <w:numPr>
                      <w:ilvl w:val="0"/>
                      <w:numId w:val="0"/>
                    </w:numPr>
                    <w:spacing w:before="0" w:beforeLines="0"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理化指标（质量分数）/%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6" w:type="dxa"/>
                  <w:vMerge w:val="continue"/>
                  <w:vAlign w:val="center"/>
                </w:tcPr>
                <w:p>
                  <w:pPr>
                    <w:pStyle w:val="92"/>
                    <w:numPr>
                      <w:ilvl w:val="0"/>
                      <w:numId w:val="0"/>
                    </w:numPr>
                    <w:spacing w:before="0" w:beforeLines="0" w:line="240" w:lineRule="auto"/>
                    <w:jc w:val="center"/>
                    <w:rPr>
                      <w:rFonts w:hint="default" w:ascii="Times New Roman" w:hAnsi="Times New Roman" w:cs="Times New Roman"/>
                      <w:color w:val="auto"/>
                      <w:sz w:val="21"/>
                      <w:szCs w:val="21"/>
                    </w:rPr>
                  </w:pPr>
                </w:p>
              </w:tc>
              <w:tc>
                <w:tcPr>
                  <w:tcW w:w="1560" w:type="dxa"/>
                  <w:vAlign w:val="center"/>
                </w:tcPr>
                <w:p>
                  <w:pPr>
                    <w:pStyle w:val="92"/>
                    <w:numPr>
                      <w:ilvl w:val="0"/>
                      <w:numId w:val="0"/>
                    </w:numPr>
                    <w:spacing w:before="0" w:beforeLines="0"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TFe</w:t>
                  </w:r>
                </w:p>
              </w:tc>
              <w:tc>
                <w:tcPr>
                  <w:tcW w:w="1193" w:type="dxa"/>
                  <w:vAlign w:val="center"/>
                </w:tcPr>
                <w:p>
                  <w:pPr>
                    <w:pStyle w:val="92"/>
                    <w:numPr>
                      <w:ilvl w:val="0"/>
                      <w:numId w:val="0"/>
                    </w:numPr>
                    <w:spacing w:before="0" w:beforeLines="0"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SiO</w:t>
                  </w:r>
                  <w:r>
                    <w:rPr>
                      <w:rFonts w:hint="default" w:ascii="Times New Roman" w:hAnsi="Times New Roman" w:cs="Times New Roman"/>
                      <w:color w:val="auto"/>
                      <w:sz w:val="21"/>
                      <w:szCs w:val="21"/>
                      <w:vertAlign w:val="subscript"/>
                    </w:rPr>
                    <w:t>2</w:t>
                  </w:r>
                </w:p>
              </w:tc>
              <w:tc>
                <w:tcPr>
                  <w:tcW w:w="1206" w:type="dxa"/>
                  <w:vAlign w:val="center"/>
                </w:tcPr>
                <w:p>
                  <w:pPr>
                    <w:pStyle w:val="92"/>
                    <w:numPr>
                      <w:ilvl w:val="0"/>
                      <w:numId w:val="0"/>
                    </w:numPr>
                    <w:spacing w:before="0" w:beforeLines="0"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S</w:t>
                  </w:r>
                </w:p>
              </w:tc>
              <w:tc>
                <w:tcPr>
                  <w:tcW w:w="1206" w:type="dxa"/>
                  <w:vAlign w:val="center"/>
                </w:tcPr>
                <w:p>
                  <w:pPr>
                    <w:pStyle w:val="92"/>
                    <w:numPr>
                      <w:ilvl w:val="0"/>
                      <w:numId w:val="0"/>
                    </w:numPr>
                    <w:spacing w:before="0" w:beforeLines="0"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P</w:t>
                  </w:r>
                </w:p>
              </w:tc>
              <w:tc>
                <w:tcPr>
                  <w:tcW w:w="790" w:type="dxa"/>
                  <w:vAlign w:val="center"/>
                </w:tcPr>
                <w:p>
                  <w:pPr>
                    <w:pStyle w:val="92"/>
                    <w:numPr>
                      <w:ilvl w:val="0"/>
                      <w:numId w:val="0"/>
                    </w:numPr>
                    <w:spacing w:before="0" w:beforeLines="0"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Al</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rPr>
                    <w:t>O</w:t>
                  </w:r>
                  <w:r>
                    <w:rPr>
                      <w:rFonts w:hint="default" w:ascii="Times New Roman" w:hAnsi="Times New Roman" w:cs="Times New Roman"/>
                      <w:color w:val="auto"/>
                      <w:sz w:val="21"/>
                      <w:szCs w:val="21"/>
                      <w:vertAlign w:val="subscript"/>
                    </w:rPr>
                    <w:t>3</w:t>
                  </w:r>
                </w:p>
              </w:tc>
              <w:tc>
                <w:tcPr>
                  <w:tcW w:w="1634" w:type="dxa"/>
                  <w:vAlign w:val="center"/>
                </w:tcPr>
                <w:p>
                  <w:pPr>
                    <w:pStyle w:val="92"/>
                    <w:numPr>
                      <w:ilvl w:val="0"/>
                      <w:numId w:val="0"/>
                    </w:numPr>
                    <w:spacing w:before="0" w:beforeLines="0"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粒度</w:t>
                  </w:r>
                </w:p>
                <w:p>
                  <w:pPr>
                    <w:pStyle w:val="92"/>
                    <w:numPr>
                      <w:ilvl w:val="0"/>
                      <w:numId w:val="0"/>
                    </w:numPr>
                    <w:spacing w:before="0" w:beforeLines="0"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-0.075mm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66" w:type="dxa"/>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C60</w:t>
                  </w:r>
                </w:p>
              </w:tc>
              <w:tc>
                <w:tcPr>
                  <w:tcW w:w="1560" w:type="dxa"/>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60.0~＜</w:t>
                  </w:r>
                  <w:r>
                    <w:rPr>
                      <w:rFonts w:hint="default" w:ascii="Times New Roman" w:hAnsi="Times New Roman" w:cs="Times New Roman"/>
                      <w:sz w:val="21"/>
                      <w:szCs w:val="21"/>
                    </w:rPr>
                    <w:t xml:space="preserve"> </w:t>
                  </w:r>
                  <w:r>
                    <w:rPr>
                      <w:rFonts w:hint="default" w:ascii="Times New Roman" w:hAnsi="Times New Roman" w:cs="Times New Roman"/>
                      <w:b w:val="0"/>
                      <w:bCs w:val="0"/>
                      <w:color w:val="auto"/>
                      <w:sz w:val="21"/>
                      <w:szCs w:val="21"/>
                    </w:rPr>
                    <w:t>63.0</w:t>
                  </w:r>
                </w:p>
              </w:tc>
              <w:tc>
                <w:tcPr>
                  <w:tcW w:w="1193" w:type="dxa"/>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bookmarkStart w:id="203" w:name="OLE_LINK216"/>
                  <w:bookmarkStart w:id="204" w:name="OLE_LINK215"/>
                  <w:r>
                    <w:rPr>
                      <w:rFonts w:hint="default" w:ascii="Times New Roman" w:hAnsi="Times New Roman" w:cs="Times New Roman"/>
                      <w:b w:val="0"/>
                      <w:bCs w:val="0"/>
                      <w:color w:val="auto"/>
                      <w:sz w:val="21"/>
                      <w:szCs w:val="21"/>
                    </w:rPr>
                    <w:t>≤9.0</w:t>
                  </w:r>
                  <w:bookmarkEnd w:id="203"/>
                  <w:bookmarkEnd w:id="204"/>
                </w:p>
              </w:tc>
              <w:tc>
                <w:tcPr>
                  <w:tcW w:w="1206" w:type="dxa"/>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bookmarkStart w:id="205" w:name="OLE_LINK242"/>
                  <w:bookmarkStart w:id="206" w:name="OLE_LINK243"/>
                  <w:r>
                    <w:rPr>
                      <w:rFonts w:hint="default" w:ascii="Times New Roman" w:hAnsi="Times New Roman" w:cs="Times New Roman"/>
                      <w:b w:val="0"/>
                      <w:bCs w:val="0"/>
                      <w:color w:val="auto"/>
                      <w:sz w:val="21"/>
                      <w:szCs w:val="21"/>
                    </w:rPr>
                    <w:t>≤</w:t>
                  </w:r>
                  <w:bookmarkEnd w:id="205"/>
                  <w:bookmarkEnd w:id="206"/>
                  <w:r>
                    <w:rPr>
                      <w:rFonts w:hint="default" w:ascii="Times New Roman" w:hAnsi="Times New Roman" w:cs="Times New Roman"/>
                      <w:b w:val="0"/>
                      <w:bCs w:val="0"/>
                      <w:color w:val="auto"/>
                      <w:sz w:val="21"/>
                      <w:szCs w:val="21"/>
                    </w:rPr>
                    <w:t>0.50</w:t>
                  </w:r>
                </w:p>
              </w:tc>
              <w:tc>
                <w:tcPr>
                  <w:tcW w:w="1206" w:type="dxa"/>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≤0.10</w:t>
                  </w:r>
                </w:p>
              </w:tc>
              <w:tc>
                <w:tcPr>
                  <w:tcW w:w="790" w:type="dxa"/>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bookmarkStart w:id="207" w:name="OLE_LINK241"/>
                  <w:bookmarkStart w:id="208" w:name="OLE_LINK238"/>
                  <w:r>
                    <w:rPr>
                      <w:rFonts w:hint="default" w:ascii="Times New Roman" w:hAnsi="Times New Roman" w:cs="Times New Roman"/>
                      <w:b w:val="0"/>
                      <w:bCs w:val="0"/>
                      <w:color w:val="auto"/>
                      <w:sz w:val="21"/>
                      <w:szCs w:val="21"/>
                    </w:rPr>
                    <w:t>≤</w:t>
                  </w:r>
                  <w:bookmarkEnd w:id="207"/>
                  <w:bookmarkEnd w:id="208"/>
                  <w:r>
                    <w:rPr>
                      <w:rFonts w:hint="default" w:ascii="Times New Roman" w:hAnsi="Times New Roman" w:cs="Times New Roman"/>
                      <w:b w:val="0"/>
                      <w:bCs w:val="0"/>
                      <w:color w:val="auto"/>
                      <w:sz w:val="21"/>
                      <w:szCs w:val="21"/>
                    </w:rPr>
                    <w:t>2.0</w:t>
                  </w:r>
                </w:p>
              </w:tc>
              <w:tc>
                <w:tcPr>
                  <w:tcW w:w="1634" w:type="dxa"/>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≥60.0</w:t>
                  </w:r>
                </w:p>
              </w:tc>
            </w:tr>
          </w:tbl>
          <w:p>
            <w:pPr>
              <w:pStyle w:val="89"/>
              <w:rPr>
                <w:rFonts w:hint="default" w:ascii="Times New Roman" w:hAnsi="Times New Roman" w:cs="Times New Roman"/>
                <w:color w:val="auto"/>
                <w:sz w:val="21"/>
              </w:rPr>
            </w:pPr>
            <w:r>
              <w:rPr>
                <w:rFonts w:ascii="Times New Roman" w:hAnsi="Times New Roman" w:cs="Times New Roman"/>
                <w:color w:val="auto"/>
                <w:sz w:val="21"/>
              </w:rPr>
              <w:t>表2-</w:t>
            </w:r>
            <w:r>
              <w:rPr>
                <w:rFonts w:hint="default" w:ascii="Times New Roman" w:hAnsi="Times New Roman" w:cs="Times New Roman"/>
                <w:color w:val="auto"/>
                <w:sz w:val="21"/>
              </w:rPr>
              <w:t>13</w:t>
            </w:r>
            <w:r>
              <w:rPr>
                <w:sz w:val="21"/>
              </w:rPr>
              <w:t>含硅战略金属富集矿</w:t>
            </w:r>
            <w:bookmarkStart w:id="209" w:name="OLE_LINK233"/>
            <w:bookmarkStart w:id="210" w:name="OLE_LINK232"/>
            <w:r>
              <w:rPr>
                <w:rFonts w:ascii="Times New Roman" w:hAnsi="Times New Roman" w:cs="Times New Roman"/>
                <w:color w:val="auto"/>
                <w:sz w:val="21"/>
              </w:rPr>
              <w:t>产品外观质量要求</w:t>
            </w:r>
            <w:bookmarkEnd w:id="209"/>
            <w:bookmarkEnd w:id="210"/>
            <w:r>
              <w:rPr>
                <w:rFonts w:ascii="Times New Roman" w:hAnsi="Times New Roman" w:cs="Times New Roman"/>
                <w:color w:val="auto"/>
                <w:sz w:val="21"/>
              </w:rPr>
              <w:t>及理化指标</w:t>
            </w:r>
          </w:p>
          <w:tbl>
            <w:tblPr>
              <w:tblStyle w:val="24"/>
              <w:tblW w:w="845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89"/>
              <w:gridCol w:w="1135"/>
              <w:gridCol w:w="2542"/>
              <w:gridCol w:w="1747"/>
              <w:gridCol w:w="17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762" w:type="pct"/>
                  <w:vAlign w:val="center"/>
                </w:tcPr>
                <w:p>
                  <w:pPr>
                    <w:pStyle w:val="92"/>
                    <w:numPr>
                      <w:ilvl w:val="0"/>
                      <w:numId w:val="0"/>
                    </w:numPr>
                    <w:spacing w:before="120" w:line="240" w:lineRule="auto"/>
                    <w:jc w:val="center"/>
                    <w:rPr>
                      <w:rFonts w:hint="default" w:ascii="Times New Roman" w:hAnsi="Times New Roman" w:cs="Times New Roman"/>
                      <w:sz w:val="21"/>
                      <w:szCs w:val="21"/>
                    </w:rPr>
                  </w:pPr>
                  <w:r>
                    <w:rPr>
                      <w:rFonts w:hint="default" w:ascii="Times New Roman" w:hAnsi="Times New Roman" w:cs="Times New Roman"/>
                      <w:color w:val="auto"/>
                      <w:sz w:val="21"/>
                      <w:szCs w:val="21"/>
                    </w:rPr>
                    <w:t>产品</w:t>
                  </w:r>
                  <w:r>
                    <w:rPr>
                      <w:rFonts w:ascii="Times New Roman" w:hAnsi="Times New Roman" w:cs="Times New Roman"/>
                      <w:color w:val="auto"/>
                      <w:sz w:val="21"/>
                      <w:szCs w:val="21"/>
                    </w:rPr>
                    <w:t>名称</w:t>
                  </w:r>
                </w:p>
              </w:tc>
              <w:tc>
                <w:tcPr>
                  <w:tcW w:w="671" w:type="pct"/>
                  <w:vAlign w:val="center"/>
                </w:tcPr>
                <w:p>
                  <w:pPr>
                    <w:pStyle w:val="92"/>
                    <w:numPr>
                      <w:ilvl w:val="0"/>
                      <w:numId w:val="0"/>
                    </w:numPr>
                    <w:spacing w:before="120" w:line="240" w:lineRule="auto"/>
                    <w:jc w:val="center"/>
                    <w:rPr>
                      <w:rFonts w:hint="default" w:ascii="Times New Roman" w:hAnsi="Times New Roman" w:cs="Times New Roman"/>
                      <w:sz w:val="21"/>
                      <w:szCs w:val="21"/>
                    </w:rPr>
                  </w:pPr>
                  <w:r>
                    <w:rPr>
                      <w:rFonts w:hint="default" w:ascii="Times New Roman" w:hAnsi="Times New Roman" w:cs="Times New Roman"/>
                      <w:color w:val="auto"/>
                      <w:sz w:val="21"/>
                      <w:szCs w:val="21"/>
                    </w:rPr>
                    <w:t>产品代号</w:t>
                  </w:r>
                </w:p>
              </w:tc>
              <w:tc>
                <w:tcPr>
                  <w:tcW w:w="2536" w:type="pct"/>
                  <w:gridSpan w:val="2"/>
                  <w:vAlign w:val="center"/>
                </w:tcPr>
                <w:p>
                  <w:pPr>
                    <w:pStyle w:val="92"/>
                    <w:numPr>
                      <w:ilvl w:val="0"/>
                      <w:numId w:val="0"/>
                    </w:numPr>
                    <w:spacing w:before="120" w:line="240" w:lineRule="auto"/>
                    <w:jc w:val="center"/>
                    <w:rPr>
                      <w:rFonts w:hint="default" w:ascii="Times New Roman" w:hAnsi="Times New Roman" w:cs="Times New Roman"/>
                      <w:sz w:val="21"/>
                      <w:szCs w:val="21"/>
                    </w:rPr>
                  </w:pPr>
                  <w:r>
                    <w:rPr>
                      <w:rFonts w:ascii="Times New Roman" w:hAnsi="Times New Roman" w:cs="Times New Roman"/>
                      <w:sz w:val="21"/>
                      <w:szCs w:val="21"/>
                    </w:rPr>
                    <w:t>项目</w:t>
                  </w:r>
                </w:p>
              </w:tc>
              <w:tc>
                <w:tcPr>
                  <w:tcW w:w="1030" w:type="pct"/>
                  <w:vAlign w:val="center"/>
                </w:tcPr>
                <w:p>
                  <w:pPr>
                    <w:pStyle w:val="92"/>
                    <w:numPr>
                      <w:ilvl w:val="0"/>
                      <w:numId w:val="0"/>
                    </w:numPr>
                    <w:spacing w:before="120" w:line="240" w:lineRule="auto"/>
                    <w:jc w:val="center"/>
                    <w:rPr>
                      <w:rFonts w:hint="default" w:ascii="Times New Roman" w:hAnsi="Times New Roman" w:cs="Times New Roman"/>
                      <w:color w:val="auto"/>
                      <w:sz w:val="21"/>
                      <w:szCs w:val="21"/>
                    </w:rPr>
                  </w:pPr>
                  <w:r>
                    <w:rPr>
                      <w:rFonts w:hint="default" w:ascii="Times New Roman" w:hAnsi="Times New Roman" w:cs="Times New Roman"/>
                      <w:sz w:val="21"/>
                      <w:szCs w:val="21"/>
                    </w:rPr>
                    <w:t>产品外观质量要求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2" w:type="pct"/>
                  <w:vMerge w:val="restar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ascii="Times New Roman" w:hAnsi="Times New Roman" w:cs="Times New Roman"/>
                      <w:b w:val="0"/>
                      <w:bCs w:val="0"/>
                      <w:color w:val="auto"/>
                      <w:sz w:val="21"/>
                      <w:szCs w:val="21"/>
                    </w:rPr>
                    <w:t>陶瓷工业用水洗高岭土</w:t>
                  </w:r>
                </w:p>
              </w:tc>
              <w:tc>
                <w:tcPr>
                  <w:tcW w:w="671" w:type="pct"/>
                  <w:vMerge w:val="restar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TC</w:t>
                  </w:r>
                </w:p>
              </w:tc>
              <w:tc>
                <w:tcPr>
                  <w:tcW w:w="1503"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ascii="Times New Roman" w:hAnsi="Times New Roman" w:cs="Times New Roman"/>
                      <w:b w:val="0"/>
                      <w:bCs w:val="0"/>
                      <w:color w:val="auto"/>
                      <w:sz w:val="21"/>
                      <w:szCs w:val="21"/>
                    </w:rPr>
                    <w:t>三氧化二铝含量(质量分数)/%</w:t>
                  </w:r>
                  <w:r>
                    <w:rPr>
                      <w:rFonts w:hint="default" w:ascii="Times New Roman" w:hAnsi="Times New Roman" w:cs="Times New Roman"/>
                      <w:b w:val="0"/>
                      <w:bCs w:val="0"/>
                      <w:color w:val="auto"/>
                      <w:sz w:val="21"/>
                      <w:szCs w:val="21"/>
                    </w:rPr>
                    <w:t xml:space="preserve">      ≥</w:t>
                  </w:r>
                </w:p>
              </w:tc>
              <w:tc>
                <w:tcPr>
                  <w:tcW w:w="1033"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ascii="Times New Roman" w:hAnsi="Times New Roman" w:cs="Times New Roman"/>
                      <w:b w:val="0"/>
                      <w:bCs w:val="0"/>
                      <w:color w:val="auto"/>
                      <w:sz w:val="21"/>
                      <w:szCs w:val="21"/>
                    </w:rPr>
                    <w:t>28.00</w:t>
                  </w:r>
                </w:p>
              </w:tc>
              <w:tc>
                <w:tcPr>
                  <w:tcW w:w="1030" w:type="pct"/>
                  <w:vMerge w:val="restar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1280℃煅烧呈白色、米黄色、浅红色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2" w:type="pct"/>
                  <w:vMerge w:val="continue"/>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p>
              </w:tc>
              <w:tc>
                <w:tcPr>
                  <w:tcW w:w="671" w:type="pct"/>
                  <w:vMerge w:val="continue"/>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p>
              </w:tc>
              <w:tc>
                <w:tcPr>
                  <w:tcW w:w="1503"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ascii="Times New Roman" w:hAnsi="Times New Roman" w:cs="Times New Roman"/>
                      <w:b w:val="0"/>
                      <w:bCs w:val="0"/>
                      <w:color w:val="auto"/>
                      <w:sz w:val="21"/>
                      <w:szCs w:val="21"/>
                    </w:rPr>
                    <w:t>三氧化二铁含量(质量分数)/%</w:t>
                  </w:r>
                  <w:r>
                    <w:rPr>
                      <w:rFonts w:hint="default" w:ascii="Times New Roman" w:hAnsi="Times New Roman" w:cs="Times New Roman"/>
                      <w:b w:val="0"/>
                      <w:bCs w:val="0"/>
                      <w:color w:val="auto"/>
                      <w:sz w:val="21"/>
                      <w:szCs w:val="21"/>
                    </w:rPr>
                    <w:t xml:space="preserve">     ≤</w:t>
                  </w:r>
                </w:p>
              </w:tc>
              <w:tc>
                <w:tcPr>
                  <w:tcW w:w="1033"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ascii="Times New Roman" w:hAnsi="Times New Roman" w:cs="Times New Roman"/>
                      <w:b w:val="0"/>
                      <w:bCs w:val="0"/>
                      <w:color w:val="auto"/>
                      <w:sz w:val="21"/>
                      <w:szCs w:val="21"/>
                    </w:rPr>
                    <w:t>1.50</w:t>
                  </w:r>
                </w:p>
              </w:tc>
              <w:tc>
                <w:tcPr>
                  <w:tcW w:w="1030" w:type="pct"/>
                  <w:vMerge w:val="continue"/>
                  <w:vAlign w:val="center"/>
                </w:tcPr>
                <w:p>
                  <w:pPr>
                    <w:pStyle w:val="92"/>
                    <w:numPr>
                      <w:ilvl w:val="0"/>
                      <w:numId w:val="0"/>
                    </w:numPr>
                    <w:spacing w:before="0" w:beforeLines="0" w:line="240" w:lineRule="auto"/>
                    <w:jc w:val="center"/>
                    <w:rPr>
                      <w:rFonts w:hint="default" w:ascii="Times New Roman" w:hAnsi="Times New Roman" w:cs="Times New Roman"/>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2" w:type="pct"/>
                  <w:vMerge w:val="continue"/>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p>
              </w:tc>
              <w:tc>
                <w:tcPr>
                  <w:tcW w:w="671" w:type="pct"/>
                  <w:vMerge w:val="continue"/>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p>
              </w:tc>
              <w:tc>
                <w:tcPr>
                  <w:tcW w:w="1503"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ascii="Times New Roman" w:hAnsi="Times New Roman" w:cs="Times New Roman"/>
                      <w:b w:val="0"/>
                      <w:bCs w:val="0"/>
                      <w:color w:val="auto"/>
                      <w:sz w:val="21"/>
                      <w:szCs w:val="21"/>
                    </w:rPr>
                    <w:t>二氧化钛含量(质量分数)/%</w:t>
                  </w:r>
                  <w:r>
                    <w:rPr>
                      <w:rFonts w:hint="default" w:ascii="Times New Roman" w:hAnsi="Times New Roman" w:cs="Times New Roman"/>
                      <w:b w:val="0"/>
                      <w:bCs w:val="0"/>
                      <w:color w:val="auto"/>
                      <w:sz w:val="21"/>
                      <w:szCs w:val="21"/>
                    </w:rPr>
                    <w:t xml:space="preserve">     ≤</w:t>
                  </w:r>
                </w:p>
              </w:tc>
              <w:tc>
                <w:tcPr>
                  <w:tcW w:w="1033"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ascii="Times New Roman" w:hAnsi="Times New Roman" w:cs="Times New Roman"/>
                      <w:b w:val="0"/>
                      <w:bCs w:val="0"/>
                      <w:color w:val="auto"/>
                      <w:sz w:val="21"/>
                      <w:szCs w:val="21"/>
                    </w:rPr>
                    <w:t>0.40</w:t>
                  </w:r>
                </w:p>
              </w:tc>
              <w:tc>
                <w:tcPr>
                  <w:tcW w:w="1030" w:type="pct"/>
                  <w:vMerge w:val="continue"/>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2" w:type="pct"/>
                  <w:vMerge w:val="continue"/>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p>
              </w:tc>
              <w:tc>
                <w:tcPr>
                  <w:tcW w:w="671" w:type="pct"/>
                  <w:vMerge w:val="continue"/>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p>
              </w:tc>
              <w:tc>
                <w:tcPr>
                  <w:tcW w:w="1503"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ascii="Times New Roman" w:hAnsi="Times New Roman" w:cs="Times New Roman"/>
                      <w:b w:val="0"/>
                      <w:bCs w:val="0"/>
                      <w:color w:val="auto"/>
                      <w:sz w:val="21"/>
                      <w:szCs w:val="21"/>
                    </w:rPr>
                    <w:t>三氧化硫含量(质量分数)/%</w:t>
                  </w:r>
                  <w:r>
                    <w:rPr>
                      <w:rFonts w:hint="default" w:ascii="Times New Roman" w:hAnsi="Times New Roman" w:cs="Times New Roman"/>
                      <w:b w:val="0"/>
                      <w:bCs w:val="0"/>
                      <w:color w:val="auto"/>
                      <w:sz w:val="21"/>
                      <w:szCs w:val="21"/>
                    </w:rPr>
                    <w:t xml:space="preserve">     ≤</w:t>
                  </w:r>
                </w:p>
              </w:tc>
              <w:tc>
                <w:tcPr>
                  <w:tcW w:w="1033"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ascii="Times New Roman" w:hAnsi="Times New Roman" w:cs="Times New Roman"/>
                      <w:b w:val="0"/>
                      <w:bCs w:val="0"/>
                      <w:color w:val="auto"/>
                      <w:sz w:val="21"/>
                      <w:szCs w:val="21"/>
                    </w:rPr>
                    <w:t>0.80</w:t>
                  </w:r>
                </w:p>
              </w:tc>
              <w:tc>
                <w:tcPr>
                  <w:tcW w:w="1030" w:type="pct"/>
                  <w:vMerge w:val="continue"/>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2" w:type="pct"/>
                  <w:vMerge w:val="continue"/>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p>
              </w:tc>
              <w:tc>
                <w:tcPr>
                  <w:tcW w:w="671" w:type="pct"/>
                  <w:vMerge w:val="continue"/>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p>
              </w:tc>
              <w:tc>
                <w:tcPr>
                  <w:tcW w:w="1503"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ascii="Times New Roman" w:hAnsi="Times New Roman" w:cs="Times New Roman"/>
                      <w:b w:val="0"/>
                      <w:bCs w:val="0"/>
                      <w:color w:val="auto"/>
                      <w:sz w:val="21"/>
                      <w:szCs w:val="21"/>
                    </w:rPr>
                    <w:t>筛余量/%</w:t>
                  </w:r>
                  <w:r>
                    <w:rPr>
                      <w:rFonts w:hint="default" w:ascii="Times New Roman" w:hAnsi="Times New Roman" w:cs="Times New Roman"/>
                      <w:b w:val="0"/>
                      <w:bCs w:val="0"/>
                      <w:color w:val="auto"/>
                      <w:sz w:val="21"/>
                      <w:szCs w:val="21"/>
                    </w:rPr>
                    <w:t xml:space="preserve">    ≤</w:t>
                  </w:r>
                </w:p>
              </w:tc>
              <w:tc>
                <w:tcPr>
                  <w:tcW w:w="1033"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ascii="Times New Roman" w:hAnsi="Times New Roman" w:cs="Times New Roman"/>
                      <w:b w:val="0"/>
                      <w:bCs w:val="0"/>
                      <w:color w:val="auto"/>
                      <w:sz w:val="21"/>
                      <w:szCs w:val="21"/>
                    </w:rPr>
                    <w:t>1.0(63 μm)</w:t>
                  </w:r>
                </w:p>
              </w:tc>
              <w:tc>
                <w:tcPr>
                  <w:tcW w:w="1030" w:type="pct"/>
                  <w:vMerge w:val="continue"/>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p>
              </w:tc>
            </w:tr>
          </w:tbl>
          <w:p>
            <w:pPr>
              <w:pStyle w:val="89"/>
              <w:rPr>
                <w:rFonts w:hint="default" w:ascii="Times New Roman" w:hAnsi="Times New Roman" w:cs="Times New Roman"/>
                <w:color w:val="auto"/>
                <w:sz w:val="21"/>
              </w:rPr>
            </w:pPr>
            <w:r>
              <w:rPr>
                <w:rFonts w:ascii="Times New Roman" w:hAnsi="Times New Roman" w:cs="Times New Roman"/>
                <w:color w:val="auto"/>
                <w:sz w:val="21"/>
              </w:rPr>
              <w:t>表2-</w:t>
            </w:r>
            <w:r>
              <w:rPr>
                <w:rFonts w:hint="default" w:ascii="Times New Roman" w:hAnsi="Times New Roman" w:cs="Times New Roman"/>
                <w:color w:val="auto"/>
                <w:sz w:val="21"/>
              </w:rPr>
              <w:t>14</w:t>
            </w:r>
            <w:r>
              <w:rPr>
                <w:sz w:val="21"/>
              </w:rPr>
              <w:t>高纯度钙、镁产品</w:t>
            </w:r>
            <w:r>
              <w:rPr>
                <w:rFonts w:ascii="Times New Roman" w:hAnsi="Times New Roman" w:cs="Times New Roman"/>
                <w:color w:val="auto"/>
                <w:sz w:val="21"/>
              </w:rPr>
              <w:t>理化指标</w:t>
            </w: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72"/>
              <w:gridCol w:w="1790"/>
              <w:gridCol w:w="1877"/>
              <w:gridCol w:w="13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2" w:type="pct"/>
                  <w:vMerge w:val="restart"/>
                  <w:vAlign w:val="center"/>
                </w:tcPr>
                <w:p>
                  <w:pPr>
                    <w:pStyle w:val="92"/>
                    <w:numPr>
                      <w:ilvl w:val="0"/>
                      <w:numId w:val="0"/>
                    </w:numPr>
                    <w:spacing w:before="0" w:beforeLines="0" w:line="240" w:lineRule="auto"/>
                    <w:jc w:val="center"/>
                    <w:rPr>
                      <w:rFonts w:hint="default" w:ascii="Times New Roman" w:hAnsi="Times New Roman" w:cs="Times New Roman"/>
                      <w:color w:val="auto"/>
                      <w:sz w:val="21"/>
                      <w:szCs w:val="21"/>
                    </w:rPr>
                  </w:pPr>
                  <w:bookmarkStart w:id="211" w:name="OLE_LINK256"/>
                  <w:bookmarkStart w:id="212" w:name="OLE_LINK255"/>
                  <w:r>
                    <w:rPr>
                      <w:rFonts w:hint="default" w:ascii="Times New Roman" w:hAnsi="Times New Roman" w:cs="Times New Roman"/>
                      <w:color w:val="auto"/>
                      <w:sz w:val="21"/>
                      <w:szCs w:val="21"/>
                    </w:rPr>
                    <w:t>项目</w:t>
                  </w:r>
                </w:p>
              </w:tc>
              <w:tc>
                <w:tcPr>
                  <w:tcW w:w="2928" w:type="pct"/>
                  <w:gridSpan w:val="3"/>
                  <w:vAlign w:val="center"/>
                </w:tcPr>
                <w:p>
                  <w:pPr>
                    <w:pStyle w:val="92"/>
                    <w:numPr>
                      <w:ilvl w:val="0"/>
                      <w:numId w:val="0"/>
                    </w:numPr>
                    <w:spacing w:before="0" w:beforeLines="0"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2" w:type="pct"/>
                  <w:vMerge w:val="continue"/>
                  <w:vAlign w:val="center"/>
                </w:tcPr>
                <w:p>
                  <w:pPr>
                    <w:pStyle w:val="92"/>
                    <w:numPr>
                      <w:ilvl w:val="0"/>
                      <w:numId w:val="0"/>
                    </w:numPr>
                    <w:spacing w:before="0" w:beforeLines="0" w:line="240" w:lineRule="auto"/>
                    <w:jc w:val="center"/>
                    <w:rPr>
                      <w:rFonts w:hint="default" w:ascii="Times New Roman" w:hAnsi="Times New Roman" w:cs="Times New Roman"/>
                      <w:color w:val="auto"/>
                      <w:sz w:val="21"/>
                      <w:szCs w:val="21"/>
                    </w:rPr>
                  </w:pPr>
                </w:p>
              </w:tc>
              <w:tc>
                <w:tcPr>
                  <w:tcW w:w="1038" w:type="pct"/>
                  <w:vAlign w:val="center"/>
                </w:tcPr>
                <w:p>
                  <w:pPr>
                    <w:pStyle w:val="92"/>
                    <w:numPr>
                      <w:ilvl w:val="0"/>
                      <w:numId w:val="0"/>
                    </w:numPr>
                    <w:spacing w:before="0" w:beforeLines="0"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Ⅰ</w:t>
                  </w:r>
                  <w:r>
                    <w:rPr>
                      <w:rFonts w:ascii="Times New Roman" w:hAnsi="Times New Roman" w:cs="Times New Roman"/>
                      <w:color w:val="auto"/>
                      <w:sz w:val="21"/>
                      <w:szCs w:val="21"/>
                    </w:rPr>
                    <w:t>类</w:t>
                  </w:r>
                </w:p>
              </w:tc>
              <w:tc>
                <w:tcPr>
                  <w:tcW w:w="1089" w:type="pct"/>
                  <w:vAlign w:val="center"/>
                </w:tcPr>
                <w:p>
                  <w:pPr>
                    <w:pStyle w:val="92"/>
                    <w:numPr>
                      <w:ilvl w:val="0"/>
                      <w:numId w:val="0"/>
                    </w:numPr>
                    <w:spacing w:before="0" w:beforeLines="0"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Ⅱ</w:t>
                  </w:r>
                  <w:r>
                    <w:rPr>
                      <w:rFonts w:ascii="Times New Roman" w:hAnsi="Times New Roman" w:cs="Times New Roman"/>
                      <w:color w:val="auto"/>
                      <w:sz w:val="21"/>
                      <w:szCs w:val="21"/>
                    </w:rPr>
                    <w:t>类</w:t>
                  </w:r>
                </w:p>
              </w:tc>
              <w:tc>
                <w:tcPr>
                  <w:tcW w:w="801" w:type="pct"/>
                  <w:vAlign w:val="center"/>
                </w:tcPr>
                <w:p>
                  <w:pPr>
                    <w:pStyle w:val="92"/>
                    <w:numPr>
                      <w:ilvl w:val="0"/>
                      <w:numId w:val="0"/>
                    </w:numPr>
                    <w:spacing w:before="0" w:beforeLines="0"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Ⅲ</w:t>
                  </w:r>
                  <w:r>
                    <w:rPr>
                      <w:rFonts w:ascii="Times New Roman" w:hAnsi="Times New Roman" w:cs="Times New Roman"/>
                      <w:color w:val="auto"/>
                      <w:sz w:val="21"/>
                      <w:szCs w:val="21"/>
                    </w:rPr>
                    <w:t>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2"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平均粒径(TEM/SEM)/nm</w:t>
                  </w:r>
                </w:p>
              </w:tc>
              <w:tc>
                <w:tcPr>
                  <w:tcW w:w="1038"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≤20</w:t>
                  </w:r>
                </w:p>
              </w:tc>
              <w:tc>
                <w:tcPr>
                  <w:tcW w:w="1089"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40~60</w:t>
                  </w:r>
                </w:p>
              </w:tc>
              <w:tc>
                <w:tcPr>
                  <w:tcW w:w="801"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70~100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072"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比表面积(静态BET)/(m</w:t>
                  </w:r>
                  <w:r>
                    <w:rPr>
                      <w:rFonts w:hint="default" w:ascii="Times New Roman" w:hAnsi="Times New Roman" w:cs="Times New Roman"/>
                      <w:b w:val="0"/>
                      <w:bCs w:val="0"/>
                      <w:color w:val="auto"/>
                      <w:sz w:val="21"/>
                      <w:szCs w:val="21"/>
                      <w:vertAlign w:val="superscript"/>
                    </w:rPr>
                    <w:t>2</w:t>
                  </w:r>
                  <w:r>
                    <w:rPr>
                      <w:rFonts w:hint="default" w:ascii="Times New Roman" w:hAnsi="Times New Roman" w:cs="Times New Roman"/>
                      <w:b w:val="0"/>
                      <w:bCs w:val="0"/>
                      <w:color w:val="auto"/>
                      <w:sz w:val="21"/>
                      <w:szCs w:val="21"/>
                    </w:rPr>
                    <w:t>/g)</w:t>
                  </w:r>
                </w:p>
              </w:tc>
              <w:tc>
                <w:tcPr>
                  <w:tcW w:w="1038"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≥75</w:t>
                  </w:r>
                </w:p>
              </w:tc>
              <w:tc>
                <w:tcPr>
                  <w:tcW w:w="1089"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25~35</w:t>
                  </w:r>
                </w:p>
              </w:tc>
              <w:tc>
                <w:tcPr>
                  <w:tcW w:w="801"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16~20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2"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主含量(CaCO</w:t>
                  </w:r>
                  <w:r>
                    <w:rPr>
                      <w:rFonts w:hint="default" w:ascii="Times New Roman" w:hAnsi="Times New Roman" w:cs="Times New Roman"/>
                      <w:b w:val="0"/>
                      <w:bCs w:val="0"/>
                      <w:color w:val="auto"/>
                      <w:sz w:val="21"/>
                      <w:szCs w:val="21"/>
                      <w:vertAlign w:val="subscript"/>
                    </w:rPr>
                    <w:t>3</w:t>
                  </w:r>
                  <w:r>
                    <w:rPr>
                      <w:rFonts w:hint="default" w:ascii="Times New Roman" w:hAnsi="Times New Roman" w:cs="Times New Roman"/>
                      <w:b w:val="0"/>
                      <w:bCs w:val="0"/>
                      <w:color w:val="auto"/>
                      <w:sz w:val="21"/>
                      <w:szCs w:val="21"/>
                    </w:rPr>
                    <w:t>)(干基)w/%</w:t>
                  </w:r>
                </w:p>
              </w:tc>
              <w:tc>
                <w:tcPr>
                  <w:tcW w:w="1038"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≥85</w:t>
                  </w:r>
                </w:p>
              </w:tc>
              <w:tc>
                <w:tcPr>
                  <w:tcW w:w="1089"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≥90</w:t>
                  </w:r>
                </w:p>
              </w:tc>
              <w:tc>
                <w:tcPr>
                  <w:tcW w:w="801"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2"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镁(Mg)w/%</w:t>
                  </w:r>
                </w:p>
              </w:tc>
              <w:tc>
                <w:tcPr>
                  <w:tcW w:w="1038"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≤0.5</w:t>
                  </w:r>
                </w:p>
              </w:tc>
              <w:tc>
                <w:tcPr>
                  <w:tcW w:w="1089"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≤0.5</w:t>
                  </w:r>
                </w:p>
              </w:tc>
              <w:tc>
                <w:tcPr>
                  <w:tcW w:w="801"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2"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白度</w:t>
                  </w:r>
                </w:p>
              </w:tc>
              <w:tc>
                <w:tcPr>
                  <w:tcW w:w="1038"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≥85</w:t>
                  </w:r>
                </w:p>
              </w:tc>
              <w:tc>
                <w:tcPr>
                  <w:tcW w:w="1089"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≥90</w:t>
                  </w:r>
                </w:p>
              </w:tc>
              <w:tc>
                <w:tcPr>
                  <w:tcW w:w="801"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072"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pH</w:t>
                  </w:r>
                </w:p>
              </w:tc>
              <w:tc>
                <w:tcPr>
                  <w:tcW w:w="1038"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8.0~10.0</w:t>
                  </w:r>
                </w:p>
              </w:tc>
              <w:tc>
                <w:tcPr>
                  <w:tcW w:w="1089"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8.0~10.0</w:t>
                  </w:r>
                </w:p>
              </w:tc>
              <w:tc>
                <w:tcPr>
                  <w:tcW w:w="801"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8.0~10.0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2"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吸油值/(g/100g)</w:t>
                  </w:r>
                </w:p>
              </w:tc>
              <w:tc>
                <w:tcPr>
                  <w:tcW w:w="1038"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sz w:val="21"/>
                      <w:szCs w:val="21"/>
                    </w:rPr>
                    <w:t>≤50</w:t>
                  </w:r>
                </w:p>
              </w:tc>
              <w:tc>
                <w:tcPr>
                  <w:tcW w:w="1089"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sz w:val="21"/>
                      <w:szCs w:val="21"/>
                    </w:rPr>
                    <w:t>≤40</w:t>
                  </w:r>
                </w:p>
              </w:tc>
              <w:tc>
                <w:tcPr>
                  <w:tcW w:w="801"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sz w:val="21"/>
                      <w:szCs w:val="21"/>
                    </w:rPr>
                    <w:t>≤30</w:t>
                  </w:r>
                </w:p>
              </w:tc>
            </w:tr>
            <w:bookmarkEnd w:id="211"/>
            <w:bookmarkEnd w:id="212"/>
          </w:tbl>
          <w:p>
            <w:pPr>
              <w:pStyle w:val="89"/>
              <w:rPr>
                <w:rFonts w:hint="default" w:ascii="Times New Roman" w:hAnsi="Times New Roman" w:cs="Times New Roman"/>
                <w:color w:val="auto"/>
                <w:sz w:val="21"/>
              </w:rPr>
            </w:pPr>
            <w:r>
              <w:rPr>
                <w:rFonts w:ascii="Times New Roman" w:hAnsi="Times New Roman" w:cs="Times New Roman"/>
                <w:color w:val="auto"/>
                <w:sz w:val="21"/>
              </w:rPr>
              <w:t>表2-</w:t>
            </w:r>
            <w:r>
              <w:rPr>
                <w:rFonts w:hint="default" w:ascii="Times New Roman" w:hAnsi="Times New Roman" w:cs="Times New Roman"/>
                <w:color w:val="auto"/>
                <w:sz w:val="21"/>
              </w:rPr>
              <w:t>15</w:t>
            </w:r>
            <w:r>
              <w:rPr>
                <w:sz w:val="21"/>
              </w:rPr>
              <w:t>土壤修复剂</w:t>
            </w:r>
            <w:r>
              <w:rPr>
                <w:rFonts w:ascii="Times New Roman" w:hAnsi="Times New Roman" w:cs="Times New Roman"/>
                <w:color w:val="auto"/>
                <w:sz w:val="21"/>
              </w:rPr>
              <w:t>控制项目与分级</w:t>
            </w: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08"/>
              <w:gridCol w:w="2157"/>
              <w:gridCol w:w="21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6" w:hRule="atLeast"/>
              </w:trPr>
              <w:tc>
                <w:tcPr>
                  <w:tcW w:w="2499" w:type="pct"/>
                  <w:vAlign w:val="center"/>
                </w:tcPr>
                <w:p>
                  <w:pPr>
                    <w:pStyle w:val="92"/>
                    <w:numPr>
                      <w:ilvl w:val="0"/>
                      <w:numId w:val="0"/>
                    </w:numPr>
                    <w:spacing w:before="0" w:beforeLines="0"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项目</w:t>
                  </w:r>
                </w:p>
              </w:tc>
              <w:tc>
                <w:tcPr>
                  <w:tcW w:w="1251" w:type="pct"/>
                  <w:vAlign w:val="center"/>
                </w:tcPr>
                <w:p>
                  <w:pPr>
                    <w:pStyle w:val="92"/>
                    <w:numPr>
                      <w:ilvl w:val="0"/>
                      <w:numId w:val="0"/>
                    </w:numPr>
                    <w:spacing w:before="0" w:beforeLines="0" w:line="240" w:lineRule="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五级</w:t>
                  </w:r>
                </w:p>
              </w:tc>
              <w:tc>
                <w:tcPr>
                  <w:tcW w:w="1250" w:type="pct"/>
                  <w:vAlign w:val="center"/>
                </w:tcPr>
                <w:p>
                  <w:pPr>
                    <w:pStyle w:val="92"/>
                    <w:numPr>
                      <w:ilvl w:val="0"/>
                      <w:numId w:val="0"/>
                    </w:numPr>
                    <w:spacing w:before="0" w:beforeLines="0" w:line="240" w:lineRule="auto"/>
                    <w:jc w:val="center"/>
                    <w:rPr>
                      <w:rFonts w:hint="default" w:ascii="Times New Roman" w:hAnsi="Times New Roman" w:cs="Times New Roman"/>
                      <w:color w:val="auto"/>
                      <w:sz w:val="21"/>
                      <w:szCs w:val="21"/>
                      <w:highlight w:val="yellow"/>
                    </w:rPr>
                  </w:pPr>
                  <w:r>
                    <w:rPr>
                      <w:rFonts w:ascii="Times New Roman" w:hAnsi="Times New Roman" w:cs="Times New Roman"/>
                      <w:color w:val="auto"/>
                      <w:sz w:val="21"/>
                      <w:szCs w:val="21"/>
                      <w:highlight w:val="yellow"/>
                    </w:rPr>
                    <w:t>用途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汞</w:t>
                  </w:r>
                </w:p>
              </w:tc>
              <w:tc>
                <w:tcPr>
                  <w:tcW w:w="1251"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10</w:t>
                  </w:r>
                </w:p>
              </w:tc>
              <w:tc>
                <w:tcPr>
                  <w:tcW w:w="1250" w:type="pct"/>
                  <w:vMerge w:val="restart"/>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highlight w:val="yellow"/>
                    </w:rPr>
                  </w:pPr>
                  <w:r>
                    <w:rPr>
                      <w:rFonts w:ascii="Times New Roman" w:hAnsi="Times New Roman" w:cs="Times New Roman"/>
                      <w:b w:val="0"/>
                      <w:bCs w:val="0"/>
                      <w:color w:val="auto"/>
                      <w:sz w:val="21"/>
                      <w:szCs w:val="21"/>
                      <w:highlight w:val="yellow"/>
                    </w:rPr>
                    <w:t>适用于所有土壤化产物，包括矿山生态复垦用土(边坡修复、裸露地覆盖、陷空区土壤补偿)、边坡用土(路域工程用土与客土喷播)、林地用土(荒漠绿化、林地培育和苗木培育)，以及高寒冻融、沙化等极端环境条件中生态修复或改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镉</w:t>
                  </w:r>
                </w:p>
              </w:tc>
              <w:tc>
                <w:tcPr>
                  <w:tcW w:w="1251"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65</w:t>
                  </w:r>
                </w:p>
              </w:tc>
              <w:tc>
                <w:tcPr>
                  <w:tcW w:w="1250" w:type="pct"/>
                  <w:vMerge w:val="continue"/>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铅</w:t>
                  </w:r>
                </w:p>
              </w:tc>
              <w:tc>
                <w:tcPr>
                  <w:tcW w:w="1251"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800</w:t>
                  </w:r>
                </w:p>
              </w:tc>
              <w:tc>
                <w:tcPr>
                  <w:tcW w:w="1250" w:type="pct"/>
                  <w:vMerge w:val="continue"/>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铬</w:t>
                  </w:r>
                </w:p>
              </w:tc>
              <w:tc>
                <w:tcPr>
                  <w:tcW w:w="1251"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800</w:t>
                  </w:r>
                </w:p>
              </w:tc>
              <w:tc>
                <w:tcPr>
                  <w:tcW w:w="1250" w:type="pct"/>
                  <w:vMerge w:val="continue"/>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砷</w:t>
                  </w:r>
                </w:p>
              </w:tc>
              <w:tc>
                <w:tcPr>
                  <w:tcW w:w="1251"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75</w:t>
                  </w:r>
                </w:p>
              </w:tc>
              <w:tc>
                <w:tcPr>
                  <w:tcW w:w="1250" w:type="pct"/>
                  <w:vMerge w:val="continue"/>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铜</w:t>
                  </w:r>
                </w:p>
              </w:tc>
              <w:tc>
                <w:tcPr>
                  <w:tcW w:w="1251"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8000</w:t>
                  </w:r>
                </w:p>
              </w:tc>
              <w:tc>
                <w:tcPr>
                  <w:tcW w:w="1250" w:type="pct"/>
                  <w:vMerge w:val="continue"/>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镍</w:t>
                  </w:r>
                </w:p>
              </w:tc>
              <w:tc>
                <w:tcPr>
                  <w:tcW w:w="1251"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300</w:t>
                  </w:r>
                </w:p>
              </w:tc>
              <w:tc>
                <w:tcPr>
                  <w:tcW w:w="1250" w:type="pct"/>
                  <w:vMerge w:val="continue"/>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锌</w:t>
                  </w:r>
                </w:p>
              </w:tc>
              <w:tc>
                <w:tcPr>
                  <w:tcW w:w="1251" w:type="pct"/>
                  <w:vAlign w:val="center"/>
                </w:tcPr>
                <w:p>
                  <w:pPr>
                    <w:pStyle w:val="92"/>
                    <w:numPr>
                      <w:ilvl w:val="0"/>
                      <w:numId w:val="0"/>
                    </w:numPr>
                    <w:spacing w:before="0" w:beforeLines="0" w:line="240" w:lineRule="auto"/>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3000</w:t>
                  </w:r>
                </w:p>
              </w:tc>
              <w:tc>
                <w:tcPr>
                  <w:tcW w:w="1250" w:type="pct"/>
                  <w:vMerge w:val="continue"/>
                </w:tcPr>
                <w:p>
                  <w:pPr>
                    <w:pStyle w:val="92"/>
                    <w:numPr>
                      <w:ilvl w:val="0"/>
                      <w:numId w:val="0"/>
                    </w:numPr>
                    <w:spacing w:before="0" w:beforeLines="0" w:line="240" w:lineRule="auto"/>
                    <w:jc w:val="center"/>
                    <w:rPr>
                      <w:rFonts w:hint="default" w:ascii="Times New Roman" w:hAnsi="Times New Roman" w:cs="Times New Roman"/>
                      <w:b w:val="0"/>
                      <w:bCs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六六六总量</w:t>
                  </w:r>
                </w:p>
              </w:tc>
              <w:tc>
                <w:tcPr>
                  <w:tcW w:w="1251" w:type="pct"/>
                  <w:vAlign w:val="center"/>
                </w:tcPr>
                <w:p>
                  <w:pPr>
                    <w:pStyle w:val="92"/>
                    <w:numPr>
                      <w:ilvl w:val="0"/>
                      <w:numId w:val="0"/>
                    </w:numPr>
                    <w:spacing w:before="0" w:beforeLines="0" w:line="240" w:lineRule="auto"/>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3.2</w:t>
                  </w:r>
                </w:p>
              </w:tc>
              <w:tc>
                <w:tcPr>
                  <w:tcW w:w="1250" w:type="pct"/>
                  <w:vMerge w:val="continue"/>
                </w:tcPr>
                <w:p>
                  <w:pPr>
                    <w:pStyle w:val="92"/>
                    <w:numPr>
                      <w:ilvl w:val="0"/>
                      <w:numId w:val="0"/>
                    </w:numPr>
                    <w:spacing w:before="0" w:beforeLines="0" w:line="240" w:lineRule="auto"/>
                    <w:jc w:val="center"/>
                    <w:rPr>
                      <w:rFonts w:hint="default" w:ascii="Times New Roman" w:hAnsi="Times New Roman" w:cs="Times New Roman"/>
                      <w:b w:val="0"/>
                      <w:bCs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滴滴涕总量</w:t>
                  </w:r>
                </w:p>
              </w:tc>
              <w:tc>
                <w:tcPr>
                  <w:tcW w:w="1251" w:type="pct"/>
                  <w:vAlign w:val="center"/>
                </w:tcPr>
                <w:p>
                  <w:pPr>
                    <w:pStyle w:val="92"/>
                    <w:numPr>
                      <w:ilvl w:val="0"/>
                      <w:numId w:val="0"/>
                    </w:numPr>
                    <w:spacing w:before="0" w:beforeLines="0" w:line="240" w:lineRule="auto"/>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40</w:t>
                  </w:r>
                </w:p>
              </w:tc>
              <w:tc>
                <w:tcPr>
                  <w:tcW w:w="1250" w:type="pct"/>
                  <w:vMerge w:val="continue"/>
                </w:tcPr>
                <w:p>
                  <w:pPr>
                    <w:pStyle w:val="92"/>
                    <w:numPr>
                      <w:ilvl w:val="0"/>
                      <w:numId w:val="0"/>
                    </w:numPr>
                    <w:spacing w:before="0" w:beforeLines="0" w:line="240" w:lineRule="auto"/>
                    <w:jc w:val="center"/>
                    <w:rPr>
                      <w:rFonts w:hint="default" w:ascii="Times New Roman" w:hAnsi="Times New Roman" w:cs="Times New Roman"/>
                      <w:b w:val="0"/>
                      <w:bCs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9" w:type="pct"/>
                  <w:vAlign w:val="center"/>
                </w:tcPr>
                <w:p>
                  <w:pPr>
                    <w:pStyle w:val="92"/>
                    <w:numPr>
                      <w:ilvl w:val="0"/>
                      <w:numId w:val="0"/>
                    </w:numPr>
                    <w:spacing w:before="0" w:beforeLines="0" w:line="240" w:lineRule="auto"/>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rPr>
                    <w:t>苯并[a]芘</w:t>
                  </w:r>
                </w:p>
              </w:tc>
              <w:tc>
                <w:tcPr>
                  <w:tcW w:w="1251" w:type="pct"/>
                  <w:vAlign w:val="center"/>
                </w:tcPr>
                <w:p>
                  <w:pPr>
                    <w:pStyle w:val="92"/>
                    <w:numPr>
                      <w:ilvl w:val="0"/>
                      <w:numId w:val="0"/>
                    </w:numPr>
                    <w:spacing w:before="0" w:beforeLines="0" w:line="240" w:lineRule="auto"/>
                    <w:jc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1.5</w:t>
                  </w:r>
                </w:p>
              </w:tc>
              <w:tc>
                <w:tcPr>
                  <w:tcW w:w="1250" w:type="pct"/>
                  <w:vMerge w:val="continue"/>
                </w:tcPr>
                <w:p>
                  <w:pPr>
                    <w:pStyle w:val="92"/>
                    <w:numPr>
                      <w:ilvl w:val="0"/>
                      <w:numId w:val="0"/>
                    </w:numPr>
                    <w:spacing w:before="0" w:beforeLines="0" w:line="240" w:lineRule="auto"/>
                    <w:jc w:val="center"/>
                    <w:rPr>
                      <w:rFonts w:hint="default" w:ascii="Times New Roman" w:hAnsi="Times New Roman" w:cs="Times New Roman"/>
                      <w:b w:val="0"/>
                      <w:bCs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3"/>
                  <w:vAlign w:val="center"/>
                </w:tcPr>
                <w:p>
                  <w:pPr>
                    <w:pStyle w:val="92"/>
                    <w:numPr>
                      <w:ilvl w:val="0"/>
                      <w:numId w:val="0"/>
                    </w:numPr>
                    <w:spacing w:before="0" w:beforeLines="0" w:line="240" w:lineRule="auto"/>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重金属和类金属含量以干基总量计；</w:t>
                  </w:r>
                </w:p>
                <w:p>
                  <w:pPr>
                    <w:pStyle w:val="92"/>
                    <w:numPr>
                      <w:ilvl w:val="0"/>
                      <w:numId w:val="0"/>
                    </w:numPr>
                    <w:spacing w:before="0" w:beforeLines="0" w:line="240" w:lineRule="auto"/>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六六六总量为a-六六六、β-六六六、γ-六六六、δ-六六六四种异构体的含量总和；</w:t>
                  </w:r>
                </w:p>
                <w:p>
                  <w:pPr>
                    <w:pStyle w:val="92"/>
                    <w:numPr>
                      <w:ilvl w:val="0"/>
                      <w:numId w:val="0"/>
                    </w:numPr>
                    <w:spacing w:before="0" w:beforeLines="0" w:line="240" w:lineRule="auto"/>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滴滴涕总量为p，p’-滴滴伊、p，p'-滴滴滴、o，p’-滴滴涕、p，p'-滴滴涕四种衍生物的含量总和。</w:t>
                  </w:r>
                </w:p>
              </w:tc>
            </w:tr>
            <w:bookmarkEnd w:id="197"/>
            <w:bookmarkEnd w:id="198"/>
          </w:tbl>
          <w:p>
            <w:pPr>
              <w:pStyle w:val="92"/>
              <w:spacing w:before="120"/>
              <w:rPr>
                <w:rFonts w:hint="default" w:ascii="Times New Roman" w:hAnsi="Times New Roman" w:cs="Times New Roman"/>
                <w:color w:val="auto"/>
              </w:rPr>
            </w:pPr>
            <w:r>
              <w:rPr>
                <w:rFonts w:hint="default" w:ascii="Times New Roman" w:hAnsi="Times New Roman" w:cs="Times New Roman"/>
                <w:color w:val="auto"/>
              </w:rPr>
              <w:t>给排水</w:t>
            </w:r>
          </w:p>
          <w:p>
            <w:pPr>
              <w:pStyle w:val="94"/>
              <w:numPr>
                <w:ilvl w:val="0"/>
                <w:numId w:val="8"/>
              </w:numPr>
              <w:rPr>
                <w:rFonts w:ascii="Times New Roman" w:hAnsi="Times New Roman" w:cs="Times New Roman"/>
                <w:color w:val="auto"/>
              </w:rPr>
            </w:pPr>
            <w:r>
              <w:rPr>
                <w:rFonts w:ascii="Times New Roman" w:hAnsi="Times New Roman" w:cs="Times New Roman"/>
                <w:color w:val="auto"/>
              </w:rPr>
              <w:t>给水</w:t>
            </w:r>
          </w:p>
          <w:p>
            <w:pPr>
              <w:pStyle w:val="82"/>
              <w:rPr>
                <w:rFonts w:hint="default" w:ascii="Times New Roman" w:hAnsi="Times New Roman" w:cs="Times New Roman"/>
                <w:bCs/>
              </w:rPr>
            </w:pPr>
            <w:r>
              <w:rPr>
                <w:rFonts w:ascii="Times New Roman" w:hAnsi="Times New Roman" w:cs="Times New Roman"/>
                <w:bCs/>
              </w:rPr>
              <w:t>本项目无新增劳动定员，因此无新增生活用水。</w:t>
            </w:r>
          </w:p>
          <w:p>
            <w:pPr>
              <w:pStyle w:val="82"/>
              <w:rPr>
                <w:rFonts w:hint="default" w:ascii="Times New Roman" w:hAnsi="Times New Roman" w:cs="Times New Roman"/>
              </w:rPr>
            </w:pPr>
            <w:bookmarkStart w:id="213" w:name="OLE_LINK112"/>
            <w:bookmarkStart w:id="214" w:name="OLE_LINK113"/>
            <w:bookmarkStart w:id="215" w:name="OLE_LINK98"/>
            <w:r>
              <w:rPr>
                <w:rFonts w:hint="default" w:ascii="Times New Roman" w:hAnsi="Times New Roman" w:cs="Times New Roman"/>
              </w:rPr>
              <w:t>本项目</w:t>
            </w:r>
            <w:r>
              <w:rPr>
                <w:bCs/>
              </w:rPr>
              <w:t>原料自带水，系统初始补水量</w:t>
            </w:r>
            <w:r>
              <w:rPr>
                <w:rFonts w:hint="default" w:ascii="Times New Roman" w:hAnsi="Times New Roman" w:cs="Times New Roman"/>
                <w:bCs/>
              </w:rPr>
              <w:t>为101.31t/d</w:t>
            </w:r>
            <w:r>
              <w:rPr>
                <w:rFonts w:ascii="Times New Roman" w:hAnsi="Times New Roman" w:cs="Times New Roman"/>
                <w:bCs/>
              </w:rPr>
              <w:t>，由园区供应</w:t>
            </w:r>
            <w:r>
              <w:rPr>
                <w:rFonts w:hint="default" w:ascii="Times New Roman" w:hAnsi="Times New Roman" w:cs="Times New Roman"/>
              </w:rPr>
              <w:t>。</w:t>
            </w:r>
          </w:p>
          <w:bookmarkEnd w:id="213"/>
          <w:bookmarkEnd w:id="214"/>
          <w:bookmarkEnd w:id="215"/>
          <w:p>
            <w:pPr>
              <w:pStyle w:val="94"/>
              <w:rPr>
                <w:rFonts w:ascii="Times New Roman" w:hAnsi="Times New Roman" w:cs="Times New Roman"/>
                <w:color w:val="auto"/>
              </w:rPr>
            </w:pPr>
            <w:r>
              <w:rPr>
                <w:rFonts w:ascii="Times New Roman" w:hAnsi="Times New Roman" w:cs="Times New Roman"/>
                <w:color w:val="auto"/>
              </w:rPr>
              <w:t>排水</w:t>
            </w:r>
          </w:p>
          <w:p>
            <w:pPr>
              <w:pStyle w:val="82"/>
              <w:rPr>
                <w:rFonts w:hint="default" w:ascii="Times New Roman" w:hAnsi="Times New Roman" w:cs="Times New Roman"/>
              </w:rPr>
            </w:pPr>
            <w:r>
              <w:rPr>
                <w:rFonts w:hint="default" w:ascii="Times New Roman" w:hAnsi="Times New Roman" w:cs="Times New Roman"/>
              </w:rPr>
              <w:t>本项目生产废水循环使用不外排。</w:t>
            </w:r>
          </w:p>
          <w:p>
            <w:pPr>
              <w:pStyle w:val="89"/>
              <w:rPr>
                <w:rFonts w:hint="default" w:ascii="Times New Roman" w:hAnsi="Times New Roman" w:cs="Times New Roman"/>
                <w:color w:val="auto"/>
              </w:rPr>
            </w:pPr>
            <w:bookmarkStart w:id="216" w:name="_MON_1820143076"/>
            <w:bookmarkEnd w:id="216"/>
            <w:bookmarkStart w:id="217" w:name="OLE_LINK97"/>
            <w:bookmarkStart w:id="218" w:name="OLE_LINK96"/>
            <w:r>
              <w:rPr>
                <w:rFonts w:hint="default" w:ascii="Times New Roman" w:hAnsi="Times New Roman" w:cs="Times New Roman"/>
                <w:color w:val="auto"/>
              </w:rPr>
              <w:object>
                <v:shape id="_x0000_i1027" o:spt="75" type="#_x0000_t75" style="height:142.55pt;width:348.9pt;" o:ole="t" filled="f" o:preferrelative="t" stroked="f" coordsize="21600,21600">
                  <v:path/>
                  <v:fill on="f" focussize="0,0"/>
                  <v:stroke on="f" joinstyle="miter"/>
                  <v:imagedata r:id="rId16" o:title=""/>
                  <o:lock v:ext="edit" aspectratio="t"/>
                  <w10:wrap type="none"/>
                  <w10:anchorlock/>
                </v:shape>
                <o:OLEObject Type="Embed" ProgID="Visio.Drawing.15" ShapeID="_x0000_i1027" DrawAspect="Content" ObjectID="_1468075727" r:id="rId15">
                  <o:LockedField>false</o:LockedField>
                </o:OLEObject>
              </w:object>
            </w:r>
            <w:bookmarkEnd w:id="217"/>
            <w:bookmarkEnd w:id="218"/>
          </w:p>
          <w:p>
            <w:pPr>
              <w:pStyle w:val="89"/>
              <w:rPr>
                <w:rFonts w:hint="default" w:ascii="Times New Roman" w:hAnsi="Times New Roman" w:cs="Times New Roman"/>
                <w:color w:val="auto"/>
              </w:rPr>
            </w:pPr>
            <w:r>
              <w:rPr>
                <w:rFonts w:hint="default" w:ascii="Times New Roman" w:hAnsi="Times New Roman" w:cs="Times New Roman"/>
                <w:color w:val="auto"/>
              </w:rPr>
              <w:t>图2-</w:t>
            </w:r>
            <w:r>
              <w:rPr>
                <w:rFonts w:ascii="Times New Roman" w:hAnsi="Times New Roman" w:cs="Times New Roman"/>
                <w:color w:val="auto"/>
              </w:rPr>
              <w:t>1</w:t>
            </w:r>
            <w:r>
              <w:rPr>
                <w:rFonts w:hint="default" w:ascii="Times New Roman" w:hAnsi="Times New Roman" w:cs="Times New Roman"/>
                <w:color w:val="auto"/>
              </w:rPr>
              <w:t>水平衡图  m</w:t>
            </w:r>
            <w:r>
              <w:rPr>
                <w:rFonts w:hint="default" w:ascii="Times New Roman" w:hAnsi="Times New Roman" w:cs="Times New Roman"/>
                <w:color w:val="auto"/>
                <w:vertAlign w:val="superscript"/>
              </w:rPr>
              <w:t>3</w:t>
            </w:r>
            <w:r>
              <w:rPr>
                <w:rFonts w:hint="default" w:ascii="Times New Roman" w:hAnsi="Times New Roman" w:cs="Times New Roman"/>
                <w:color w:val="auto"/>
              </w:rPr>
              <w:t>/d</w:t>
            </w:r>
          </w:p>
          <w:p>
            <w:pPr>
              <w:pStyle w:val="81"/>
              <w:ind w:firstLine="480"/>
            </w:pPr>
            <w:bookmarkStart w:id="219" w:name="OLE_LINK226"/>
            <w:r>
              <w:t>（3）供电</w:t>
            </w:r>
          </w:p>
          <w:p>
            <w:pPr>
              <w:pStyle w:val="81"/>
              <w:ind w:firstLine="480"/>
            </w:pPr>
            <w:bookmarkStart w:id="220" w:name="OLE_LINK225"/>
            <w:r>
              <w:rPr>
                <w:rFonts w:hint="eastAsia"/>
              </w:rPr>
              <w:t>本项目新增用电量约为12万kWh/a，依托园区电网及厂区现有变电设施供给。</w:t>
            </w:r>
          </w:p>
          <w:bookmarkEnd w:id="220"/>
          <w:p>
            <w:pPr>
              <w:pStyle w:val="81"/>
              <w:ind w:firstLine="480"/>
            </w:pPr>
            <w:r>
              <w:rPr>
                <w:rFonts w:hint="eastAsia"/>
              </w:rPr>
              <w:t>（4）供热</w:t>
            </w:r>
          </w:p>
          <w:p>
            <w:pPr>
              <w:pStyle w:val="81"/>
              <w:ind w:firstLine="480"/>
            </w:pPr>
            <w:r>
              <w:rPr>
                <w:rFonts w:hint="eastAsia"/>
                <w:bCs/>
                <w:color w:val="000000" w:themeColor="text1"/>
                <w14:textFill>
                  <w14:solidFill>
                    <w14:schemeClr w14:val="tx1"/>
                  </w14:solidFill>
                </w14:textFill>
              </w:rPr>
              <w:t>依托厂区现有供暖措施</w:t>
            </w:r>
            <w:r>
              <w:rPr>
                <w:rFonts w:hint="eastAsia"/>
              </w:rPr>
              <w:t>。</w:t>
            </w:r>
          </w:p>
          <w:p>
            <w:pPr>
              <w:pStyle w:val="92"/>
              <w:spacing w:before="120"/>
              <w:rPr>
                <w:rFonts w:hint="default" w:ascii="Times New Roman" w:hAnsi="Times New Roman" w:cs="Times New Roman"/>
                <w:color w:val="auto"/>
              </w:rPr>
            </w:pPr>
            <w:r>
              <w:rPr>
                <w:rFonts w:ascii="Times New Roman" w:hAnsi="Times New Roman" w:cs="Times New Roman"/>
                <w:color w:val="auto"/>
              </w:rPr>
              <w:t>物料平衡</w:t>
            </w:r>
          </w:p>
          <w:p>
            <w:pPr>
              <w:pStyle w:val="55"/>
              <w:ind w:firstLine="480"/>
              <w:rPr>
                <w:sz w:val="24"/>
              </w:rPr>
            </w:pPr>
            <w:r>
              <w:rPr>
                <w:rFonts w:hint="eastAsia"/>
                <w:sz w:val="24"/>
              </w:rPr>
              <w:t>本项目物料平衡见下表。</w:t>
            </w:r>
          </w:p>
          <w:p>
            <w:pPr>
              <w:pStyle w:val="89"/>
              <w:rPr>
                <w:rFonts w:hint="default" w:ascii="Times New Roman" w:hAnsi="Times New Roman" w:cs="Times New Roman"/>
                <w:color w:val="auto"/>
                <w:sz w:val="21"/>
              </w:rPr>
            </w:pPr>
            <w:r>
              <w:rPr>
                <w:rFonts w:hint="default" w:ascii="Times New Roman" w:hAnsi="Times New Roman" w:cs="Times New Roman"/>
                <w:color w:val="auto"/>
                <w:sz w:val="21"/>
              </w:rPr>
              <w:t>表2-16</w:t>
            </w:r>
            <w:r>
              <w:rPr>
                <w:rFonts w:ascii="Times New Roman" w:hAnsi="Times New Roman" w:cs="Times New Roman"/>
                <w:color w:val="auto"/>
                <w:sz w:val="21"/>
              </w:rPr>
              <w:t>物料平衡</w:t>
            </w:r>
            <w:r>
              <w:rPr>
                <w:rFonts w:hint="default" w:ascii="Times New Roman" w:hAnsi="Times New Roman" w:cs="Times New Roman"/>
                <w:color w:val="auto"/>
                <w:sz w:val="21"/>
              </w:rPr>
              <w:t>表</w:t>
            </w:r>
          </w:p>
          <w:tbl>
            <w:tblPr>
              <w:tblStyle w:val="23"/>
              <w:tblW w:w="8450" w:type="dxa"/>
              <w:tblInd w:w="1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11"/>
              <w:gridCol w:w="1004"/>
              <w:gridCol w:w="426"/>
              <w:gridCol w:w="1004"/>
              <w:gridCol w:w="835"/>
              <w:gridCol w:w="942"/>
              <w:gridCol w:w="1121"/>
              <w:gridCol w:w="426"/>
              <w:gridCol w:w="1121"/>
              <w:gridCol w:w="79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48" w:type="dxa"/>
                <w:trHeight w:val="382" w:hRule="atLeast"/>
              </w:trPr>
              <w:tc>
                <w:tcPr>
                  <w:tcW w:w="4054" w:type="dxa"/>
                  <w:gridSpan w:val="5"/>
                  <w:tcBorders>
                    <w:top w:val="single" w:color="auto" w:sz="12" w:space="0"/>
                    <w:left w:val="nil"/>
                    <w:bottom w:val="single" w:color="auto" w:sz="4" w:space="0"/>
                    <w:right w:val="single" w:color="auto" w:sz="4" w:space="0"/>
                  </w:tcBorders>
                  <w:vAlign w:val="center"/>
                </w:tcPr>
                <w:p>
                  <w:pPr>
                    <w:pStyle w:val="119"/>
                  </w:pPr>
                  <w:bookmarkStart w:id="221" w:name="OLE_LINK188"/>
                  <w:bookmarkStart w:id="222" w:name="OLE_LINK185"/>
                  <w:r>
                    <w:rPr>
                      <w:rFonts w:hint="eastAsia"/>
                    </w:rPr>
                    <w:t>投入</w:t>
                  </w:r>
                </w:p>
              </w:tc>
              <w:tc>
                <w:tcPr>
                  <w:tcW w:w="4348" w:type="dxa"/>
                  <w:gridSpan w:val="4"/>
                  <w:tcBorders>
                    <w:top w:val="single" w:color="auto" w:sz="12" w:space="0"/>
                    <w:left w:val="single" w:color="auto" w:sz="4" w:space="0"/>
                    <w:bottom w:val="single" w:color="auto" w:sz="4" w:space="0"/>
                    <w:right w:val="nil"/>
                  </w:tcBorders>
                  <w:vAlign w:val="center"/>
                </w:tcPr>
                <w:p>
                  <w:pPr>
                    <w:pStyle w:val="119"/>
                  </w:pPr>
                  <w:r>
                    <w:rPr>
                      <w:rFonts w:hint="eastAsia"/>
                    </w:rPr>
                    <w:t>产出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804" w:type="dxa"/>
                  <w:tcBorders>
                    <w:top w:val="single" w:color="auto" w:sz="4" w:space="0"/>
                    <w:left w:val="nil"/>
                    <w:bottom w:val="single" w:color="auto" w:sz="4" w:space="0"/>
                    <w:right w:val="single" w:color="auto" w:sz="4" w:space="0"/>
                  </w:tcBorders>
                  <w:vAlign w:val="center"/>
                </w:tcPr>
                <w:p>
                  <w:pPr>
                    <w:pStyle w:val="119"/>
                  </w:pPr>
                  <w:r>
                    <w:rPr>
                      <w:rFonts w:hint="eastAsia"/>
                    </w:rPr>
                    <w:t>物料</w:t>
                  </w:r>
                </w:p>
              </w:tc>
              <w:tc>
                <w:tcPr>
                  <w:tcW w:w="995" w:type="dxa"/>
                  <w:tcBorders>
                    <w:top w:val="single" w:color="auto" w:sz="4" w:space="0"/>
                    <w:left w:val="single" w:color="auto" w:sz="4" w:space="0"/>
                    <w:bottom w:val="single" w:color="auto" w:sz="4" w:space="0"/>
                    <w:right w:val="single" w:color="auto" w:sz="4" w:space="0"/>
                  </w:tcBorders>
                  <w:vAlign w:val="center"/>
                </w:tcPr>
                <w:p>
                  <w:pPr>
                    <w:pStyle w:val="119"/>
                  </w:pPr>
                  <w:r>
                    <w:rPr>
                      <w:rFonts w:hint="eastAsia"/>
                    </w:rPr>
                    <w:t>物料量</w:t>
                  </w:r>
                  <w:r>
                    <w:t>t/a</w:t>
                  </w:r>
                </w:p>
              </w:tc>
              <w:tc>
                <w:tcPr>
                  <w:tcW w:w="424" w:type="dxa"/>
                  <w:tcBorders>
                    <w:top w:val="single" w:color="auto" w:sz="4" w:space="0"/>
                    <w:left w:val="single" w:color="auto" w:sz="4" w:space="0"/>
                    <w:bottom w:val="single" w:color="auto" w:sz="4" w:space="0"/>
                    <w:right w:val="single" w:color="auto" w:sz="4" w:space="0"/>
                  </w:tcBorders>
                  <w:noWrap/>
                  <w:vAlign w:val="center"/>
                </w:tcPr>
                <w:p>
                  <w:pPr>
                    <w:pStyle w:val="119"/>
                  </w:pPr>
                </w:p>
              </w:tc>
              <w:tc>
                <w:tcPr>
                  <w:tcW w:w="996" w:type="dxa"/>
                  <w:tcBorders>
                    <w:top w:val="single" w:color="auto" w:sz="4" w:space="0"/>
                    <w:left w:val="single" w:color="auto" w:sz="4" w:space="0"/>
                    <w:bottom w:val="single" w:color="auto" w:sz="4" w:space="0"/>
                    <w:right w:val="single" w:color="auto" w:sz="4" w:space="0"/>
                  </w:tcBorders>
                  <w:noWrap/>
                  <w:vAlign w:val="center"/>
                </w:tcPr>
                <w:p>
                  <w:pPr>
                    <w:pStyle w:val="119"/>
                  </w:pPr>
                  <w:r>
                    <w:t>t/a</w:t>
                  </w:r>
                </w:p>
              </w:tc>
              <w:tc>
                <w:tcPr>
                  <w:tcW w:w="835" w:type="dxa"/>
                  <w:tcBorders>
                    <w:top w:val="single" w:color="auto" w:sz="4" w:space="0"/>
                    <w:left w:val="single" w:color="auto" w:sz="4" w:space="0"/>
                    <w:bottom w:val="single" w:color="auto" w:sz="4" w:space="0"/>
                    <w:right w:val="single" w:color="auto" w:sz="4" w:space="0"/>
                  </w:tcBorders>
                  <w:noWrap/>
                  <w:vAlign w:val="center"/>
                </w:tcPr>
                <w:p>
                  <w:pPr>
                    <w:pStyle w:val="119"/>
                  </w:pPr>
                  <w:r>
                    <w:t>t/d</w:t>
                  </w:r>
                </w:p>
              </w:tc>
              <w:tc>
                <w:tcPr>
                  <w:tcW w:w="942" w:type="dxa"/>
                  <w:tcBorders>
                    <w:top w:val="single" w:color="auto" w:sz="4" w:space="0"/>
                    <w:left w:val="single" w:color="auto" w:sz="4" w:space="0"/>
                    <w:bottom w:val="single" w:color="auto" w:sz="4" w:space="0"/>
                    <w:right w:val="single" w:color="auto" w:sz="4" w:space="0"/>
                  </w:tcBorders>
                  <w:vAlign w:val="center"/>
                </w:tcPr>
                <w:p>
                  <w:pPr>
                    <w:pStyle w:val="119"/>
                  </w:pPr>
                  <w:r>
                    <w:rPr>
                      <w:rFonts w:hint="eastAsia"/>
                    </w:rPr>
                    <w:t>产品</w:t>
                  </w:r>
                </w:p>
              </w:tc>
              <w:tc>
                <w:tcPr>
                  <w:tcW w:w="1121" w:type="dxa"/>
                  <w:tcBorders>
                    <w:top w:val="single" w:color="auto" w:sz="4" w:space="0"/>
                    <w:left w:val="single" w:color="auto" w:sz="4" w:space="0"/>
                    <w:bottom w:val="single" w:color="auto" w:sz="4" w:space="0"/>
                    <w:right w:val="single" w:color="auto" w:sz="4" w:space="0"/>
                  </w:tcBorders>
                  <w:vAlign w:val="center"/>
                </w:tcPr>
                <w:p>
                  <w:pPr>
                    <w:pStyle w:val="119"/>
                  </w:pPr>
                  <w:r>
                    <w:rPr>
                      <w:rFonts w:hint="eastAsia"/>
                    </w:rPr>
                    <w:t>物料量</w:t>
                  </w:r>
                  <w:r>
                    <w:t>t/a</w:t>
                  </w:r>
                </w:p>
              </w:tc>
              <w:tc>
                <w:tcPr>
                  <w:tcW w:w="424" w:type="dxa"/>
                  <w:tcBorders>
                    <w:top w:val="single" w:color="auto" w:sz="4" w:space="0"/>
                    <w:left w:val="single" w:color="auto" w:sz="4" w:space="0"/>
                    <w:bottom w:val="single" w:color="auto" w:sz="4" w:space="0"/>
                    <w:right w:val="single" w:color="auto" w:sz="4" w:space="0"/>
                  </w:tcBorders>
                  <w:noWrap/>
                  <w:vAlign w:val="center"/>
                </w:tcPr>
                <w:p>
                  <w:pPr>
                    <w:pStyle w:val="119"/>
                  </w:pPr>
                </w:p>
              </w:tc>
              <w:tc>
                <w:tcPr>
                  <w:tcW w:w="1121" w:type="dxa"/>
                  <w:tcBorders>
                    <w:top w:val="single" w:color="auto" w:sz="4" w:space="0"/>
                    <w:left w:val="single" w:color="auto" w:sz="4" w:space="0"/>
                    <w:bottom w:val="single" w:color="auto" w:sz="4" w:space="0"/>
                    <w:right w:val="single" w:color="auto" w:sz="4" w:space="0"/>
                  </w:tcBorders>
                  <w:noWrap/>
                  <w:vAlign w:val="center"/>
                </w:tcPr>
                <w:p>
                  <w:pPr>
                    <w:pStyle w:val="119"/>
                  </w:pPr>
                  <w:r>
                    <w:t>t/a</w:t>
                  </w:r>
                </w:p>
              </w:tc>
              <w:tc>
                <w:tcPr>
                  <w:tcW w:w="788" w:type="dxa"/>
                  <w:tcBorders>
                    <w:top w:val="single" w:color="auto" w:sz="4" w:space="0"/>
                    <w:left w:val="single" w:color="auto" w:sz="4" w:space="0"/>
                    <w:bottom w:val="single" w:color="auto" w:sz="4" w:space="0"/>
                    <w:right w:val="nil"/>
                  </w:tcBorders>
                  <w:noWrap/>
                  <w:vAlign w:val="center"/>
                </w:tcPr>
                <w:p>
                  <w:pPr>
                    <w:pStyle w:val="119"/>
                  </w:pPr>
                  <w:r>
                    <w:t>t/d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50" w:hRule="atLeast"/>
              </w:trPr>
              <w:tc>
                <w:tcPr>
                  <w:tcW w:w="804" w:type="dxa"/>
                  <w:vMerge w:val="restart"/>
                  <w:tcBorders>
                    <w:top w:val="single" w:color="auto" w:sz="4" w:space="0"/>
                    <w:left w:val="nil"/>
                    <w:bottom w:val="single" w:color="auto" w:sz="4" w:space="0"/>
                    <w:right w:val="single" w:color="auto" w:sz="4" w:space="0"/>
                  </w:tcBorders>
                  <w:vAlign w:val="center"/>
                </w:tcPr>
                <w:p>
                  <w:pPr>
                    <w:pStyle w:val="119"/>
                  </w:pPr>
                  <w:r>
                    <w:rPr>
                      <w:rFonts w:hint="eastAsia"/>
                    </w:rPr>
                    <w:t>细砂（含水率</w:t>
                  </w:r>
                  <w:r>
                    <w:t>45%</w:t>
                  </w:r>
                  <w:r>
                    <w:rPr>
                      <w:rFonts w:hint="eastAsia"/>
                    </w:rPr>
                    <w:t>）</w:t>
                  </w:r>
                </w:p>
              </w:tc>
              <w:tc>
                <w:tcPr>
                  <w:tcW w:w="995" w:type="dxa"/>
                  <w:vMerge w:val="restart"/>
                  <w:tcBorders>
                    <w:top w:val="single" w:color="auto" w:sz="4" w:space="0"/>
                    <w:left w:val="single" w:color="auto" w:sz="4" w:space="0"/>
                    <w:bottom w:val="single" w:color="auto" w:sz="4" w:space="0"/>
                    <w:right w:val="single" w:color="auto" w:sz="4" w:space="0"/>
                  </w:tcBorders>
                  <w:vAlign w:val="center"/>
                </w:tcPr>
                <w:p>
                  <w:pPr>
                    <w:pStyle w:val="119"/>
                  </w:pPr>
                  <w:r>
                    <w:t>100000</w:t>
                  </w:r>
                </w:p>
              </w:tc>
              <w:tc>
                <w:tcPr>
                  <w:tcW w:w="424" w:type="dxa"/>
                  <w:tcBorders>
                    <w:top w:val="single" w:color="auto" w:sz="4" w:space="0"/>
                    <w:left w:val="single" w:color="auto" w:sz="4" w:space="0"/>
                    <w:bottom w:val="single" w:color="auto" w:sz="4" w:space="0"/>
                    <w:right w:val="single" w:color="auto" w:sz="4" w:space="0"/>
                  </w:tcBorders>
                  <w:noWrap/>
                  <w:vAlign w:val="center"/>
                </w:tcPr>
                <w:p>
                  <w:pPr>
                    <w:pStyle w:val="119"/>
                  </w:pPr>
                  <w:r>
                    <w:rPr>
                      <w:rFonts w:hint="eastAsia"/>
                    </w:rPr>
                    <w:t>细砂</w:t>
                  </w:r>
                </w:p>
              </w:tc>
              <w:tc>
                <w:tcPr>
                  <w:tcW w:w="996" w:type="dxa"/>
                  <w:tcBorders>
                    <w:top w:val="single" w:color="auto" w:sz="4" w:space="0"/>
                    <w:left w:val="single" w:color="auto" w:sz="4" w:space="0"/>
                    <w:bottom w:val="single" w:color="auto" w:sz="4" w:space="0"/>
                    <w:right w:val="single" w:color="auto" w:sz="4" w:space="0"/>
                  </w:tcBorders>
                  <w:noWrap/>
                  <w:vAlign w:val="center"/>
                </w:tcPr>
                <w:p>
                  <w:pPr>
                    <w:pStyle w:val="119"/>
                    <w:rPr>
                      <w:rFonts w:eastAsia="等线"/>
                      <w:szCs w:val="21"/>
                    </w:rPr>
                  </w:pPr>
                  <w:r>
                    <w:rPr>
                      <w:rFonts w:eastAsia="等线"/>
                      <w:szCs w:val="21"/>
                    </w:rPr>
                    <w:t>55000</w:t>
                  </w:r>
                </w:p>
              </w:tc>
              <w:tc>
                <w:tcPr>
                  <w:tcW w:w="835" w:type="dxa"/>
                  <w:tcBorders>
                    <w:top w:val="single" w:color="auto" w:sz="4" w:space="0"/>
                    <w:left w:val="single" w:color="auto" w:sz="4" w:space="0"/>
                    <w:bottom w:val="single" w:color="auto" w:sz="4" w:space="0"/>
                    <w:right w:val="single" w:color="auto" w:sz="4" w:space="0"/>
                  </w:tcBorders>
                  <w:noWrap/>
                  <w:vAlign w:val="center"/>
                </w:tcPr>
                <w:p>
                  <w:pPr>
                    <w:pStyle w:val="119"/>
                    <w:rPr>
                      <w:rFonts w:eastAsia="等线"/>
                      <w:szCs w:val="21"/>
                    </w:rPr>
                  </w:pPr>
                  <w:r>
                    <w:rPr>
                      <w:rFonts w:hint="eastAsia" w:eastAsia="等线"/>
                      <w:szCs w:val="21"/>
                    </w:rPr>
                    <w:t>1</w:t>
                  </w:r>
                  <w:r>
                    <w:rPr>
                      <w:rFonts w:eastAsia="等线"/>
                      <w:szCs w:val="21"/>
                    </w:rPr>
                    <w:t>50.68</w:t>
                  </w:r>
                </w:p>
              </w:tc>
              <w:tc>
                <w:tcPr>
                  <w:tcW w:w="942" w:type="dxa"/>
                  <w:vMerge w:val="restart"/>
                  <w:tcBorders>
                    <w:top w:val="single" w:color="auto" w:sz="4" w:space="0"/>
                    <w:left w:val="single" w:color="auto" w:sz="4" w:space="0"/>
                    <w:bottom w:val="single" w:color="auto" w:sz="4" w:space="0"/>
                    <w:right w:val="single" w:color="auto" w:sz="4" w:space="0"/>
                  </w:tcBorders>
                  <w:vAlign w:val="center"/>
                </w:tcPr>
                <w:p>
                  <w:pPr>
                    <w:pStyle w:val="119"/>
                  </w:pPr>
                  <w:r>
                    <w:rPr>
                      <w:rFonts w:hint="eastAsia"/>
                    </w:rPr>
                    <w:t>铁精粉（含水</w:t>
                  </w:r>
                  <w:r>
                    <w:t>25%</w:t>
                  </w:r>
                  <w:r>
                    <w:rPr>
                      <w:rFonts w:hint="eastAsia"/>
                    </w:rPr>
                    <w:t>）</w:t>
                  </w:r>
                </w:p>
              </w:tc>
              <w:tc>
                <w:tcPr>
                  <w:tcW w:w="1121" w:type="dxa"/>
                  <w:vMerge w:val="restart"/>
                  <w:tcBorders>
                    <w:top w:val="single" w:color="auto" w:sz="4" w:space="0"/>
                    <w:left w:val="single" w:color="auto" w:sz="4" w:space="0"/>
                    <w:bottom w:val="single" w:color="auto" w:sz="4" w:space="0"/>
                    <w:right w:val="single" w:color="auto" w:sz="4" w:space="0"/>
                  </w:tcBorders>
                  <w:vAlign w:val="center"/>
                </w:tcPr>
                <w:p>
                  <w:pPr>
                    <w:pStyle w:val="119"/>
                  </w:pPr>
                  <w:r>
                    <w:t>14814</w:t>
                  </w:r>
                </w:p>
              </w:tc>
              <w:tc>
                <w:tcPr>
                  <w:tcW w:w="424" w:type="dxa"/>
                  <w:tcBorders>
                    <w:top w:val="single" w:color="auto" w:sz="4" w:space="0"/>
                    <w:left w:val="single" w:color="auto" w:sz="4" w:space="0"/>
                    <w:bottom w:val="single" w:color="auto" w:sz="4" w:space="0"/>
                    <w:right w:val="single" w:color="auto" w:sz="4" w:space="0"/>
                  </w:tcBorders>
                  <w:noWrap/>
                  <w:vAlign w:val="center"/>
                </w:tcPr>
                <w:p>
                  <w:pPr>
                    <w:pStyle w:val="119"/>
                  </w:pPr>
                  <w:r>
                    <w:rPr>
                      <w:rFonts w:hint="eastAsia"/>
                    </w:rPr>
                    <w:t>料量</w:t>
                  </w:r>
                </w:p>
              </w:tc>
              <w:tc>
                <w:tcPr>
                  <w:tcW w:w="1121" w:type="dxa"/>
                  <w:tcBorders>
                    <w:top w:val="single" w:color="auto" w:sz="4" w:space="0"/>
                    <w:left w:val="single" w:color="auto" w:sz="4" w:space="0"/>
                    <w:bottom w:val="single" w:color="auto" w:sz="4" w:space="0"/>
                    <w:right w:val="single" w:color="auto" w:sz="4" w:space="0"/>
                  </w:tcBorders>
                  <w:noWrap/>
                  <w:vAlign w:val="center"/>
                </w:tcPr>
                <w:p>
                  <w:pPr>
                    <w:pStyle w:val="119"/>
                    <w:rPr>
                      <w:rFonts w:eastAsia="等线"/>
                      <w:szCs w:val="21"/>
                    </w:rPr>
                  </w:pPr>
                  <w:r>
                    <w:rPr>
                      <w:rFonts w:eastAsia="等线"/>
                      <w:szCs w:val="21"/>
                    </w:rPr>
                    <w:t>11110.5</w:t>
                  </w:r>
                </w:p>
              </w:tc>
              <w:tc>
                <w:tcPr>
                  <w:tcW w:w="788" w:type="dxa"/>
                  <w:tcBorders>
                    <w:top w:val="single" w:color="auto" w:sz="4" w:space="0"/>
                    <w:left w:val="single" w:color="auto" w:sz="4" w:space="0"/>
                    <w:bottom w:val="single" w:color="auto" w:sz="4" w:space="0"/>
                    <w:right w:val="nil"/>
                  </w:tcBorders>
                  <w:noWrap/>
                  <w:vAlign w:val="center"/>
                </w:tcPr>
                <w:p>
                  <w:pPr>
                    <w:pStyle w:val="119"/>
                    <w:rPr>
                      <w:rFonts w:eastAsia="等线"/>
                      <w:szCs w:val="21"/>
                    </w:rPr>
                  </w:pPr>
                  <w:r>
                    <w:rPr>
                      <w:rFonts w:eastAsia="等线"/>
                      <w:szCs w:val="21"/>
                    </w:rPr>
                    <w:t>30.44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0" w:type="auto"/>
                  <w:vMerge w:val="continue"/>
                  <w:tcBorders>
                    <w:top w:val="single" w:color="auto" w:sz="4" w:space="0"/>
                    <w:left w:val="nil"/>
                    <w:bottom w:val="single" w:color="auto" w:sz="4" w:space="0"/>
                    <w:right w:val="single" w:color="auto" w:sz="4" w:space="0"/>
                  </w:tcBorders>
                  <w:vAlign w:val="center"/>
                </w:tcPr>
                <w:p>
                  <w:pPr>
                    <w:widowControl/>
                    <w:jc w:val="left"/>
                    <w:rPr>
                      <w:rFonts w:ascii="Times New Roman" w:hAnsi="Times New Roman" w:cs="Times New Roman"/>
                      <w:kern w:val="0"/>
                      <w:szCs w:val="20"/>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cs="Times New Roman"/>
                      <w:kern w:val="0"/>
                      <w:szCs w:val="20"/>
                    </w:rPr>
                  </w:pPr>
                </w:p>
              </w:tc>
              <w:tc>
                <w:tcPr>
                  <w:tcW w:w="424" w:type="dxa"/>
                  <w:tcBorders>
                    <w:top w:val="single" w:color="auto" w:sz="4" w:space="0"/>
                    <w:left w:val="single" w:color="auto" w:sz="4" w:space="0"/>
                    <w:bottom w:val="single" w:color="auto" w:sz="4" w:space="0"/>
                    <w:right w:val="single" w:color="auto" w:sz="4" w:space="0"/>
                  </w:tcBorders>
                  <w:noWrap/>
                  <w:vAlign w:val="center"/>
                </w:tcPr>
                <w:p>
                  <w:pPr>
                    <w:pStyle w:val="119"/>
                  </w:pPr>
                  <w:r>
                    <w:rPr>
                      <w:rFonts w:hint="eastAsia"/>
                    </w:rPr>
                    <w:t>水</w:t>
                  </w:r>
                </w:p>
              </w:tc>
              <w:tc>
                <w:tcPr>
                  <w:tcW w:w="996" w:type="dxa"/>
                  <w:tcBorders>
                    <w:top w:val="single" w:color="auto" w:sz="4" w:space="0"/>
                    <w:left w:val="single" w:color="auto" w:sz="4" w:space="0"/>
                    <w:bottom w:val="single" w:color="auto" w:sz="4" w:space="0"/>
                    <w:right w:val="single" w:color="auto" w:sz="4" w:space="0"/>
                  </w:tcBorders>
                  <w:noWrap/>
                  <w:vAlign w:val="center"/>
                </w:tcPr>
                <w:p>
                  <w:pPr>
                    <w:pStyle w:val="119"/>
                    <w:rPr>
                      <w:rFonts w:eastAsia="等线"/>
                      <w:szCs w:val="21"/>
                    </w:rPr>
                  </w:pPr>
                  <w:r>
                    <w:rPr>
                      <w:rFonts w:hint="eastAsia" w:eastAsia="等线"/>
                      <w:szCs w:val="21"/>
                    </w:rPr>
                    <w:t>4</w:t>
                  </w:r>
                  <w:r>
                    <w:rPr>
                      <w:rFonts w:eastAsia="等线"/>
                      <w:szCs w:val="21"/>
                    </w:rPr>
                    <w:t>5000</w:t>
                  </w:r>
                </w:p>
              </w:tc>
              <w:tc>
                <w:tcPr>
                  <w:tcW w:w="835" w:type="dxa"/>
                  <w:tcBorders>
                    <w:top w:val="single" w:color="auto" w:sz="4" w:space="0"/>
                    <w:left w:val="single" w:color="auto" w:sz="4" w:space="0"/>
                    <w:bottom w:val="single" w:color="auto" w:sz="4" w:space="0"/>
                    <w:right w:val="single" w:color="auto" w:sz="4" w:space="0"/>
                  </w:tcBorders>
                  <w:noWrap/>
                  <w:vAlign w:val="center"/>
                </w:tcPr>
                <w:p>
                  <w:pPr>
                    <w:pStyle w:val="119"/>
                    <w:rPr>
                      <w:rFonts w:eastAsia="等线"/>
                      <w:szCs w:val="21"/>
                    </w:rPr>
                  </w:pPr>
                  <w:r>
                    <w:rPr>
                      <w:rFonts w:eastAsia="等线"/>
                      <w:szCs w:val="21"/>
                    </w:rPr>
                    <w:t>123.3</w:t>
                  </w: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cs="Times New Roman"/>
                      <w:kern w:val="0"/>
                      <w:szCs w:val="20"/>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cs="Times New Roman"/>
                      <w:kern w:val="0"/>
                      <w:szCs w:val="20"/>
                    </w:rPr>
                  </w:pPr>
                </w:p>
              </w:tc>
              <w:tc>
                <w:tcPr>
                  <w:tcW w:w="424" w:type="dxa"/>
                  <w:tcBorders>
                    <w:top w:val="single" w:color="auto" w:sz="4" w:space="0"/>
                    <w:left w:val="single" w:color="auto" w:sz="4" w:space="0"/>
                    <w:bottom w:val="single" w:color="auto" w:sz="4" w:space="0"/>
                    <w:right w:val="single" w:color="auto" w:sz="4" w:space="0"/>
                  </w:tcBorders>
                  <w:noWrap/>
                  <w:vAlign w:val="center"/>
                </w:tcPr>
                <w:p>
                  <w:pPr>
                    <w:pStyle w:val="119"/>
                  </w:pPr>
                  <w:r>
                    <w:rPr>
                      <w:rFonts w:hint="eastAsia"/>
                    </w:rPr>
                    <w:t>水</w:t>
                  </w:r>
                </w:p>
              </w:tc>
              <w:tc>
                <w:tcPr>
                  <w:tcW w:w="1121" w:type="dxa"/>
                  <w:tcBorders>
                    <w:top w:val="single" w:color="auto" w:sz="4" w:space="0"/>
                    <w:left w:val="single" w:color="auto" w:sz="4" w:space="0"/>
                    <w:bottom w:val="single" w:color="auto" w:sz="4" w:space="0"/>
                    <w:right w:val="single" w:color="auto" w:sz="4" w:space="0"/>
                  </w:tcBorders>
                  <w:noWrap/>
                  <w:vAlign w:val="center"/>
                </w:tcPr>
                <w:p>
                  <w:pPr>
                    <w:pStyle w:val="119"/>
                    <w:rPr>
                      <w:rFonts w:eastAsia="等线"/>
                      <w:szCs w:val="21"/>
                    </w:rPr>
                  </w:pPr>
                  <w:r>
                    <w:rPr>
                      <w:rFonts w:eastAsia="等线"/>
                      <w:szCs w:val="21"/>
                    </w:rPr>
                    <w:t>3703.5</w:t>
                  </w:r>
                </w:p>
              </w:tc>
              <w:tc>
                <w:tcPr>
                  <w:tcW w:w="788" w:type="dxa"/>
                  <w:tcBorders>
                    <w:top w:val="single" w:color="auto" w:sz="4" w:space="0"/>
                    <w:left w:val="single" w:color="auto" w:sz="4" w:space="0"/>
                    <w:bottom w:val="single" w:color="auto" w:sz="4" w:space="0"/>
                    <w:right w:val="nil"/>
                  </w:tcBorders>
                  <w:noWrap/>
                  <w:vAlign w:val="center"/>
                </w:tcPr>
                <w:p>
                  <w:pPr>
                    <w:pStyle w:val="119"/>
                    <w:rPr>
                      <w:rFonts w:eastAsia="等线"/>
                      <w:szCs w:val="21"/>
                    </w:rPr>
                  </w:pPr>
                  <w:r>
                    <w:rPr>
                      <w:rFonts w:eastAsia="等线"/>
                      <w:szCs w:val="21"/>
                    </w:rPr>
                    <w:t>10.15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50" w:hRule="atLeast"/>
              </w:trPr>
              <w:tc>
                <w:tcPr>
                  <w:tcW w:w="804" w:type="dxa"/>
                  <w:vMerge w:val="restart"/>
                  <w:tcBorders>
                    <w:top w:val="single" w:color="auto" w:sz="4" w:space="0"/>
                    <w:left w:val="nil"/>
                    <w:bottom w:val="single" w:color="auto" w:sz="4" w:space="0"/>
                    <w:right w:val="single" w:color="auto" w:sz="4" w:space="0"/>
                  </w:tcBorders>
                  <w:vAlign w:val="center"/>
                </w:tcPr>
                <w:p>
                  <w:pPr>
                    <w:pStyle w:val="119"/>
                  </w:pPr>
                  <w:r>
                    <w:rPr>
                      <w:rFonts w:hint="eastAsia"/>
                    </w:rPr>
                    <w:t>细泥</w:t>
                  </w:r>
                  <w:bookmarkStart w:id="223" w:name="OLE_LINK173"/>
                  <w:bookmarkStart w:id="224" w:name="OLE_LINK172"/>
                  <w:r>
                    <w:rPr>
                      <w:rFonts w:hint="eastAsia"/>
                    </w:rPr>
                    <w:t>（含水率</w:t>
                  </w:r>
                  <w:r>
                    <w:t>50%</w:t>
                  </w:r>
                  <w:r>
                    <w:rPr>
                      <w:rFonts w:hint="eastAsia"/>
                    </w:rPr>
                    <w:t>）</w:t>
                  </w:r>
                  <w:bookmarkEnd w:id="223"/>
                  <w:bookmarkEnd w:id="224"/>
                </w:p>
              </w:tc>
              <w:tc>
                <w:tcPr>
                  <w:tcW w:w="995" w:type="dxa"/>
                  <w:vMerge w:val="restart"/>
                  <w:tcBorders>
                    <w:top w:val="single" w:color="auto" w:sz="4" w:space="0"/>
                    <w:left w:val="single" w:color="auto" w:sz="4" w:space="0"/>
                    <w:bottom w:val="single" w:color="auto" w:sz="4" w:space="0"/>
                    <w:right w:val="single" w:color="auto" w:sz="4" w:space="0"/>
                  </w:tcBorders>
                  <w:vAlign w:val="center"/>
                </w:tcPr>
                <w:p>
                  <w:pPr>
                    <w:pStyle w:val="119"/>
                  </w:pPr>
                  <w:r>
                    <w:t>64600</w:t>
                  </w:r>
                </w:p>
              </w:tc>
              <w:tc>
                <w:tcPr>
                  <w:tcW w:w="424" w:type="dxa"/>
                  <w:tcBorders>
                    <w:top w:val="single" w:color="auto" w:sz="4" w:space="0"/>
                    <w:left w:val="single" w:color="auto" w:sz="4" w:space="0"/>
                    <w:bottom w:val="single" w:color="auto" w:sz="4" w:space="0"/>
                    <w:right w:val="single" w:color="auto" w:sz="4" w:space="0"/>
                  </w:tcBorders>
                  <w:noWrap/>
                  <w:vAlign w:val="center"/>
                </w:tcPr>
                <w:p>
                  <w:pPr>
                    <w:pStyle w:val="119"/>
                  </w:pPr>
                  <w:r>
                    <w:rPr>
                      <w:rFonts w:hint="eastAsia"/>
                    </w:rPr>
                    <w:t>细泥</w:t>
                  </w:r>
                </w:p>
              </w:tc>
              <w:tc>
                <w:tcPr>
                  <w:tcW w:w="996" w:type="dxa"/>
                  <w:tcBorders>
                    <w:top w:val="single" w:color="auto" w:sz="4" w:space="0"/>
                    <w:left w:val="single" w:color="auto" w:sz="4" w:space="0"/>
                    <w:bottom w:val="single" w:color="auto" w:sz="4" w:space="0"/>
                    <w:right w:val="single" w:color="auto" w:sz="4" w:space="0"/>
                  </w:tcBorders>
                  <w:noWrap/>
                  <w:vAlign w:val="center"/>
                </w:tcPr>
                <w:p>
                  <w:pPr>
                    <w:pStyle w:val="119"/>
                    <w:rPr>
                      <w:rFonts w:eastAsia="等线"/>
                      <w:szCs w:val="21"/>
                    </w:rPr>
                  </w:pPr>
                  <w:r>
                    <w:rPr>
                      <w:rFonts w:eastAsia="等线"/>
                      <w:szCs w:val="21"/>
                    </w:rPr>
                    <w:t>32300</w:t>
                  </w:r>
                </w:p>
              </w:tc>
              <w:tc>
                <w:tcPr>
                  <w:tcW w:w="835" w:type="dxa"/>
                  <w:tcBorders>
                    <w:top w:val="single" w:color="auto" w:sz="4" w:space="0"/>
                    <w:left w:val="single" w:color="auto" w:sz="4" w:space="0"/>
                    <w:bottom w:val="single" w:color="auto" w:sz="4" w:space="0"/>
                    <w:right w:val="single" w:color="auto" w:sz="4" w:space="0"/>
                  </w:tcBorders>
                  <w:noWrap/>
                  <w:vAlign w:val="center"/>
                </w:tcPr>
                <w:p>
                  <w:pPr>
                    <w:pStyle w:val="119"/>
                    <w:rPr>
                      <w:rFonts w:eastAsia="等线"/>
                      <w:szCs w:val="21"/>
                    </w:rPr>
                  </w:pPr>
                  <w:r>
                    <w:rPr>
                      <w:rFonts w:eastAsia="等线"/>
                      <w:szCs w:val="21"/>
                    </w:rPr>
                    <w:t>88.5</w:t>
                  </w:r>
                </w:p>
              </w:tc>
              <w:tc>
                <w:tcPr>
                  <w:tcW w:w="942" w:type="dxa"/>
                  <w:vMerge w:val="restart"/>
                  <w:tcBorders>
                    <w:top w:val="single" w:color="auto" w:sz="4" w:space="0"/>
                    <w:left w:val="single" w:color="auto" w:sz="4" w:space="0"/>
                    <w:right w:val="single" w:color="auto" w:sz="4" w:space="0"/>
                  </w:tcBorders>
                  <w:vAlign w:val="center"/>
                </w:tcPr>
                <w:p>
                  <w:pPr>
                    <w:pStyle w:val="119"/>
                  </w:pPr>
                  <w:r>
                    <w:rPr>
                      <w:rFonts w:hint="eastAsia"/>
                    </w:rPr>
                    <w:t>高纯度钙、镁产品（含水</w:t>
                  </w:r>
                  <w:r>
                    <w:t>20%</w:t>
                  </w:r>
                  <w:r>
                    <w:rPr>
                      <w:rFonts w:hint="eastAsia"/>
                    </w:rPr>
                    <w:t>）</w:t>
                  </w:r>
                </w:p>
              </w:tc>
              <w:tc>
                <w:tcPr>
                  <w:tcW w:w="1121" w:type="dxa"/>
                  <w:vMerge w:val="restart"/>
                  <w:tcBorders>
                    <w:top w:val="single" w:color="auto" w:sz="4" w:space="0"/>
                    <w:left w:val="single" w:color="auto" w:sz="4" w:space="0"/>
                    <w:bottom w:val="single" w:color="auto" w:sz="4" w:space="0"/>
                    <w:right w:val="single" w:color="auto" w:sz="4" w:space="0"/>
                  </w:tcBorders>
                  <w:vAlign w:val="center"/>
                </w:tcPr>
                <w:p>
                  <w:pPr>
                    <w:pStyle w:val="119"/>
                  </w:pPr>
                  <w:r>
                    <w:t>16460</w:t>
                  </w:r>
                </w:p>
              </w:tc>
              <w:tc>
                <w:tcPr>
                  <w:tcW w:w="424" w:type="dxa"/>
                  <w:tcBorders>
                    <w:top w:val="single" w:color="auto" w:sz="4" w:space="0"/>
                    <w:left w:val="single" w:color="auto" w:sz="4" w:space="0"/>
                    <w:bottom w:val="single" w:color="auto" w:sz="4" w:space="0"/>
                    <w:right w:val="single" w:color="auto" w:sz="4" w:space="0"/>
                  </w:tcBorders>
                  <w:noWrap/>
                  <w:vAlign w:val="center"/>
                </w:tcPr>
                <w:p>
                  <w:pPr>
                    <w:pStyle w:val="119"/>
                  </w:pPr>
                  <w:r>
                    <w:rPr>
                      <w:rFonts w:hint="eastAsia"/>
                    </w:rPr>
                    <w:t>料量</w:t>
                  </w:r>
                </w:p>
              </w:tc>
              <w:tc>
                <w:tcPr>
                  <w:tcW w:w="1121" w:type="dxa"/>
                  <w:tcBorders>
                    <w:top w:val="single" w:color="auto" w:sz="4" w:space="0"/>
                    <w:left w:val="single" w:color="auto" w:sz="4" w:space="0"/>
                    <w:bottom w:val="single" w:color="auto" w:sz="4" w:space="0"/>
                    <w:right w:val="single" w:color="auto" w:sz="4" w:space="0"/>
                  </w:tcBorders>
                  <w:noWrap/>
                  <w:vAlign w:val="center"/>
                </w:tcPr>
                <w:p>
                  <w:pPr>
                    <w:pStyle w:val="119"/>
                    <w:rPr>
                      <w:rFonts w:eastAsia="等线"/>
                      <w:szCs w:val="21"/>
                    </w:rPr>
                  </w:pPr>
                  <w:r>
                    <w:rPr>
                      <w:rFonts w:eastAsia="等线"/>
                      <w:szCs w:val="21"/>
                    </w:rPr>
                    <w:t>13168</w:t>
                  </w:r>
                </w:p>
              </w:tc>
              <w:tc>
                <w:tcPr>
                  <w:tcW w:w="788" w:type="dxa"/>
                  <w:tcBorders>
                    <w:top w:val="single" w:color="auto" w:sz="4" w:space="0"/>
                    <w:left w:val="single" w:color="auto" w:sz="4" w:space="0"/>
                    <w:bottom w:val="single" w:color="auto" w:sz="4" w:space="0"/>
                    <w:right w:val="nil"/>
                  </w:tcBorders>
                  <w:noWrap/>
                  <w:vAlign w:val="center"/>
                </w:tcPr>
                <w:p>
                  <w:pPr>
                    <w:pStyle w:val="119"/>
                    <w:rPr>
                      <w:rFonts w:eastAsia="等线"/>
                      <w:szCs w:val="21"/>
                    </w:rPr>
                  </w:pPr>
                  <w:r>
                    <w:rPr>
                      <w:rFonts w:eastAsia="等线"/>
                      <w:szCs w:val="21"/>
                    </w:rPr>
                    <w:t>36.08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0" w:type="auto"/>
                  <w:vMerge w:val="continue"/>
                  <w:tcBorders>
                    <w:top w:val="single" w:color="auto" w:sz="4" w:space="0"/>
                    <w:left w:val="nil"/>
                    <w:bottom w:val="single" w:color="auto" w:sz="4" w:space="0"/>
                    <w:right w:val="single" w:color="auto" w:sz="4" w:space="0"/>
                  </w:tcBorders>
                  <w:vAlign w:val="center"/>
                </w:tcPr>
                <w:p>
                  <w:pPr>
                    <w:widowControl/>
                    <w:jc w:val="left"/>
                    <w:rPr>
                      <w:rFonts w:ascii="Times New Roman" w:hAnsi="Times New Roman" w:cs="Times New Roman"/>
                      <w:kern w:val="0"/>
                      <w:szCs w:val="20"/>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cs="Times New Roman"/>
                      <w:kern w:val="0"/>
                      <w:szCs w:val="20"/>
                    </w:rPr>
                  </w:pPr>
                </w:p>
              </w:tc>
              <w:tc>
                <w:tcPr>
                  <w:tcW w:w="424" w:type="dxa"/>
                  <w:tcBorders>
                    <w:top w:val="single" w:color="auto" w:sz="4" w:space="0"/>
                    <w:left w:val="single" w:color="auto" w:sz="4" w:space="0"/>
                    <w:bottom w:val="single" w:color="auto" w:sz="4" w:space="0"/>
                    <w:right w:val="single" w:color="auto" w:sz="4" w:space="0"/>
                  </w:tcBorders>
                  <w:noWrap/>
                  <w:vAlign w:val="center"/>
                </w:tcPr>
                <w:p>
                  <w:pPr>
                    <w:pStyle w:val="119"/>
                  </w:pPr>
                  <w:r>
                    <w:rPr>
                      <w:rFonts w:hint="eastAsia"/>
                    </w:rPr>
                    <w:t>水</w:t>
                  </w:r>
                </w:p>
              </w:tc>
              <w:tc>
                <w:tcPr>
                  <w:tcW w:w="996" w:type="dxa"/>
                  <w:tcBorders>
                    <w:top w:val="single" w:color="auto" w:sz="4" w:space="0"/>
                    <w:left w:val="single" w:color="auto" w:sz="4" w:space="0"/>
                    <w:bottom w:val="single" w:color="auto" w:sz="4" w:space="0"/>
                    <w:right w:val="single" w:color="auto" w:sz="4" w:space="0"/>
                  </w:tcBorders>
                  <w:noWrap/>
                  <w:vAlign w:val="center"/>
                </w:tcPr>
                <w:p>
                  <w:pPr>
                    <w:pStyle w:val="119"/>
                    <w:rPr>
                      <w:rFonts w:eastAsia="等线"/>
                      <w:szCs w:val="21"/>
                    </w:rPr>
                  </w:pPr>
                  <w:r>
                    <w:rPr>
                      <w:rFonts w:eastAsia="等线"/>
                      <w:szCs w:val="21"/>
                    </w:rPr>
                    <w:t>32300</w:t>
                  </w:r>
                </w:p>
              </w:tc>
              <w:tc>
                <w:tcPr>
                  <w:tcW w:w="835" w:type="dxa"/>
                  <w:tcBorders>
                    <w:top w:val="single" w:color="auto" w:sz="4" w:space="0"/>
                    <w:left w:val="single" w:color="auto" w:sz="4" w:space="0"/>
                    <w:bottom w:val="single" w:color="auto" w:sz="4" w:space="0"/>
                    <w:right w:val="single" w:color="auto" w:sz="4" w:space="0"/>
                  </w:tcBorders>
                  <w:noWrap/>
                  <w:vAlign w:val="center"/>
                </w:tcPr>
                <w:p>
                  <w:pPr>
                    <w:pStyle w:val="119"/>
                    <w:rPr>
                      <w:rFonts w:eastAsia="等线"/>
                      <w:szCs w:val="21"/>
                    </w:rPr>
                  </w:pPr>
                  <w:r>
                    <w:rPr>
                      <w:rFonts w:eastAsia="等线"/>
                      <w:szCs w:val="21"/>
                    </w:rPr>
                    <w:t>88.5</w:t>
                  </w:r>
                </w:p>
              </w:tc>
              <w:tc>
                <w:tcPr>
                  <w:tcW w:w="0" w:type="auto"/>
                  <w:vMerge w:val="continue"/>
                  <w:tcBorders>
                    <w:left w:val="single" w:color="auto" w:sz="4" w:space="0"/>
                    <w:bottom w:val="single" w:color="auto" w:sz="4" w:space="0"/>
                    <w:right w:val="single" w:color="auto" w:sz="4" w:space="0"/>
                  </w:tcBorders>
                  <w:vAlign w:val="center"/>
                </w:tcPr>
                <w:p>
                  <w:pPr>
                    <w:widowControl/>
                    <w:jc w:val="left"/>
                    <w:rPr>
                      <w:rFonts w:ascii="Times New Roman" w:hAnsi="Times New Roman" w:cs="Times New Roman"/>
                      <w:kern w:val="0"/>
                      <w:szCs w:val="20"/>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cs="Times New Roman"/>
                      <w:kern w:val="0"/>
                      <w:szCs w:val="20"/>
                    </w:rPr>
                  </w:pPr>
                </w:p>
              </w:tc>
              <w:tc>
                <w:tcPr>
                  <w:tcW w:w="424" w:type="dxa"/>
                  <w:tcBorders>
                    <w:top w:val="single" w:color="auto" w:sz="4" w:space="0"/>
                    <w:left w:val="single" w:color="auto" w:sz="4" w:space="0"/>
                    <w:bottom w:val="single" w:color="auto" w:sz="4" w:space="0"/>
                    <w:right w:val="single" w:color="auto" w:sz="4" w:space="0"/>
                  </w:tcBorders>
                  <w:noWrap/>
                  <w:vAlign w:val="center"/>
                </w:tcPr>
                <w:p>
                  <w:pPr>
                    <w:pStyle w:val="119"/>
                  </w:pPr>
                  <w:r>
                    <w:rPr>
                      <w:rFonts w:hint="eastAsia"/>
                    </w:rPr>
                    <w:t>水</w:t>
                  </w:r>
                </w:p>
              </w:tc>
              <w:tc>
                <w:tcPr>
                  <w:tcW w:w="1121" w:type="dxa"/>
                  <w:tcBorders>
                    <w:top w:val="single" w:color="auto" w:sz="4" w:space="0"/>
                    <w:left w:val="single" w:color="auto" w:sz="4" w:space="0"/>
                    <w:bottom w:val="single" w:color="auto" w:sz="4" w:space="0"/>
                    <w:right w:val="single" w:color="auto" w:sz="4" w:space="0"/>
                  </w:tcBorders>
                  <w:noWrap/>
                  <w:vAlign w:val="center"/>
                </w:tcPr>
                <w:p>
                  <w:pPr>
                    <w:pStyle w:val="119"/>
                    <w:rPr>
                      <w:rFonts w:eastAsia="等线"/>
                      <w:szCs w:val="21"/>
                    </w:rPr>
                  </w:pPr>
                  <w:r>
                    <w:rPr>
                      <w:rFonts w:eastAsia="等线"/>
                      <w:szCs w:val="21"/>
                    </w:rPr>
                    <w:t>3292</w:t>
                  </w:r>
                </w:p>
              </w:tc>
              <w:tc>
                <w:tcPr>
                  <w:tcW w:w="788" w:type="dxa"/>
                  <w:tcBorders>
                    <w:top w:val="single" w:color="auto" w:sz="4" w:space="0"/>
                    <w:left w:val="single" w:color="auto" w:sz="4" w:space="0"/>
                    <w:bottom w:val="single" w:color="auto" w:sz="4" w:space="0"/>
                    <w:right w:val="nil"/>
                  </w:tcBorders>
                  <w:noWrap/>
                  <w:vAlign w:val="center"/>
                </w:tcPr>
                <w:p>
                  <w:pPr>
                    <w:pStyle w:val="119"/>
                    <w:rPr>
                      <w:rFonts w:eastAsia="等线"/>
                      <w:szCs w:val="21"/>
                    </w:rPr>
                  </w:pPr>
                  <w:r>
                    <w:rPr>
                      <w:rFonts w:eastAsia="等线"/>
                      <w:szCs w:val="21"/>
                    </w:rPr>
                    <w:t>9.02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04" w:type="dxa"/>
                  <w:tcBorders>
                    <w:top w:val="single" w:color="auto" w:sz="4" w:space="0"/>
                    <w:left w:val="nil"/>
                    <w:bottom w:val="single" w:color="auto" w:sz="4" w:space="0"/>
                    <w:right w:val="single" w:color="auto" w:sz="4" w:space="0"/>
                  </w:tcBorders>
                  <w:vAlign w:val="center"/>
                </w:tcPr>
                <w:p>
                  <w:pPr>
                    <w:pStyle w:val="119"/>
                  </w:pPr>
                  <w:r>
                    <w:rPr>
                      <w:rFonts w:hint="eastAsia"/>
                    </w:rPr>
                    <w:t>补充水</w:t>
                  </w:r>
                </w:p>
              </w:tc>
              <w:tc>
                <w:tcPr>
                  <w:tcW w:w="995" w:type="dxa"/>
                  <w:tcBorders>
                    <w:top w:val="single" w:color="auto" w:sz="4" w:space="0"/>
                    <w:left w:val="single" w:color="auto" w:sz="4" w:space="0"/>
                    <w:bottom w:val="single" w:color="auto" w:sz="4" w:space="0"/>
                    <w:right w:val="single" w:color="auto" w:sz="4" w:space="0"/>
                  </w:tcBorders>
                  <w:vAlign w:val="center"/>
                </w:tcPr>
                <w:p>
                  <w:pPr>
                    <w:pStyle w:val="119"/>
                  </w:pPr>
                  <w:r>
                    <w:rPr>
                      <w:rFonts w:eastAsia="等线"/>
                      <w:szCs w:val="21"/>
                    </w:rPr>
                    <w:t>36978.15</w:t>
                  </w:r>
                </w:p>
              </w:tc>
              <w:tc>
                <w:tcPr>
                  <w:tcW w:w="424" w:type="dxa"/>
                  <w:tcBorders>
                    <w:top w:val="single" w:color="auto" w:sz="4" w:space="0"/>
                    <w:left w:val="single" w:color="auto" w:sz="4" w:space="0"/>
                    <w:bottom w:val="single" w:color="auto" w:sz="4" w:space="0"/>
                    <w:right w:val="single" w:color="auto" w:sz="4" w:space="0"/>
                  </w:tcBorders>
                  <w:noWrap/>
                  <w:vAlign w:val="center"/>
                </w:tcPr>
                <w:p>
                  <w:pPr>
                    <w:pStyle w:val="119"/>
                  </w:pPr>
                  <w:r>
                    <w:rPr>
                      <w:rFonts w:hint="eastAsia"/>
                    </w:rPr>
                    <w:t>水</w:t>
                  </w:r>
                </w:p>
              </w:tc>
              <w:tc>
                <w:tcPr>
                  <w:tcW w:w="996" w:type="dxa"/>
                  <w:tcBorders>
                    <w:top w:val="single" w:color="auto" w:sz="4" w:space="0"/>
                    <w:left w:val="single" w:color="auto" w:sz="4" w:space="0"/>
                    <w:bottom w:val="single" w:color="auto" w:sz="4" w:space="0"/>
                    <w:right w:val="single" w:color="auto" w:sz="4" w:space="0"/>
                  </w:tcBorders>
                  <w:noWrap/>
                  <w:vAlign w:val="center"/>
                </w:tcPr>
                <w:p>
                  <w:pPr>
                    <w:pStyle w:val="119"/>
                    <w:rPr>
                      <w:rFonts w:eastAsia="等线"/>
                      <w:szCs w:val="21"/>
                    </w:rPr>
                  </w:pPr>
                  <w:r>
                    <w:rPr>
                      <w:rFonts w:eastAsia="等线"/>
                      <w:szCs w:val="21"/>
                    </w:rPr>
                    <w:t>36978.15</w:t>
                  </w:r>
                </w:p>
              </w:tc>
              <w:tc>
                <w:tcPr>
                  <w:tcW w:w="835" w:type="dxa"/>
                  <w:tcBorders>
                    <w:top w:val="single" w:color="auto" w:sz="4" w:space="0"/>
                    <w:left w:val="single" w:color="auto" w:sz="4" w:space="0"/>
                    <w:bottom w:val="single" w:color="auto" w:sz="4" w:space="0"/>
                    <w:right w:val="single" w:color="auto" w:sz="4" w:space="0"/>
                  </w:tcBorders>
                  <w:noWrap/>
                  <w:vAlign w:val="center"/>
                </w:tcPr>
                <w:p>
                  <w:pPr>
                    <w:pStyle w:val="119"/>
                    <w:rPr>
                      <w:rFonts w:eastAsia="等线"/>
                      <w:szCs w:val="21"/>
                    </w:rPr>
                  </w:pPr>
                  <w:r>
                    <w:rPr>
                      <w:rFonts w:eastAsia="等线"/>
                      <w:szCs w:val="21"/>
                    </w:rPr>
                    <w:t>101.31</w:t>
                  </w:r>
                </w:p>
              </w:tc>
              <w:tc>
                <w:tcPr>
                  <w:tcW w:w="942" w:type="dxa"/>
                  <w:vMerge w:val="restart"/>
                  <w:tcBorders>
                    <w:top w:val="single" w:color="auto" w:sz="4" w:space="0"/>
                    <w:left w:val="single" w:color="auto" w:sz="4" w:space="0"/>
                    <w:right w:val="single" w:color="auto" w:sz="4" w:space="0"/>
                  </w:tcBorders>
                  <w:vAlign w:val="center"/>
                </w:tcPr>
                <w:p>
                  <w:pPr>
                    <w:pStyle w:val="119"/>
                  </w:pPr>
                  <w:r>
                    <w:rPr>
                      <w:rFonts w:hint="eastAsia"/>
                    </w:rPr>
                    <w:t>含硅战略金属富集矿（含水</w:t>
                  </w:r>
                  <w:r>
                    <w:t>25%</w:t>
                  </w:r>
                  <w:r>
                    <w:rPr>
                      <w:rFonts w:hint="eastAsia"/>
                    </w:rPr>
                    <w:t>）</w:t>
                  </w:r>
                </w:p>
              </w:tc>
              <w:tc>
                <w:tcPr>
                  <w:tcW w:w="1121" w:type="dxa"/>
                  <w:vMerge w:val="restart"/>
                  <w:tcBorders>
                    <w:top w:val="single" w:color="auto" w:sz="4" w:space="0"/>
                    <w:left w:val="single" w:color="auto" w:sz="4" w:space="0"/>
                    <w:bottom w:val="single" w:color="auto" w:sz="4" w:space="0"/>
                    <w:right w:val="single" w:color="auto" w:sz="4" w:space="0"/>
                  </w:tcBorders>
                  <w:vAlign w:val="center"/>
                </w:tcPr>
                <w:p>
                  <w:pPr>
                    <w:pStyle w:val="119"/>
                  </w:pPr>
                  <w:r>
                    <w:t>18106</w:t>
                  </w:r>
                </w:p>
              </w:tc>
              <w:tc>
                <w:tcPr>
                  <w:tcW w:w="424" w:type="dxa"/>
                  <w:tcBorders>
                    <w:top w:val="single" w:color="auto" w:sz="4" w:space="0"/>
                    <w:left w:val="single" w:color="auto" w:sz="4" w:space="0"/>
                    <w:bottom w:val="single" w:color="auto" w:sz="4" w:space="0"/>
                    <w:right w:val="single" w:color="auto" w:sz="4" w:space="0"/>
                  </w:tcBorders>
                  <w:noWrap/>
                  <w:vAlign w:val="center"/>
                </w:tcPr>
                <w:p>
                  <w:pPr>
                    <w:pStyle w:val="119"/>
                  </w:pPr>
                  <w:r>
                    <w:rPr>
                      <w:rFonts w:hint="eastAsia"/>
                    </w:rPr>
                    <w:t>料量</w:t>
                  </w:r>
                </w:p>
              </w:tc>
              <w:tc>
                <w:tcPr>
                  <w:tcW w:w="1121" w:type="dxa"/>
                  <w:tcBorders>
                    <w:top w:val="single" w:color="auto" w:sz="4" w:space="0"/>
                    <w:left w:val="single" w:color="auto" w:sz="4" w:space="0"/>
                    <w:bottom w:val="single" w:color="auto" w:sz="4" w:space="0"/>
                    <w:right w:val="single" w:color="auto" w:sz="4" w:space="0"/>
                  </w:tcBorders>
                  <w:noWrap/>
                  <w:vAlign w:val="center"/>
                </w:tcPr>
                <w:p>
                  <w:pPr>
                    <w:pStyle w:val="119"/>
                    <w:rPr>
                      <w:rFonts w:eastAsia="等线"/>
                      <w:szCs w:val="21"/>
                    </w:rPr>
                  </w:pPr>
                  <w:r>
                    <w:rPr>
                      <w:rFonts w:eastAsia="等线"/>
                      <w:szCs w:val="21"/>
                    </w:rPr>
                    <w:t>13579.5</w:t>
                  </w:r>
                </w:p>
              </w:tc>
              <w:tc>
                <w:tcPr>
                  <w:tcW w:w="788" w:type="dxa"/>
                  <w:tcBorders>
                    <w:top w:val="single" w:color="auto" w:sz="4" w:space="0"/>
                    <w:left w:val="single" w:color="auto" w:sz="4" w:space="0"/>
                    <w:bottom w:val="single" w:color="auto" w:sz="4" w:space="0"/>
                    <w:right w:val="nil"/>
                  </w:tcBorders>
                  <w:noWrap/>
                  <w:vAlign w:val="center"/>
                </w:tcPr>
                <w:p>
                  <w:pPr>
                    <w:pStyle w:val="119"/>
                    <w:rPr>
                      <w:rFonts w:eastAsia="等线"/>
                      <w:szCs w:val="21"/>
                    </w:rPr>
                  </w:pPr>
                  <w:r>
                    <w:rPr>
                      <w:rFonts w:eastAsia="等线"/>
                      <w:szCs w:val="21"/>
                    </w:rPr>
                    <w:t>37.2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04" w:type="dxa"/>
                  <w:tcBorders>
                    <w:top w:val="single" w:color="auto" w:sz="4" w:space="0"/>
                    <w:left w:val="nil"/>
                    <w:bottom w:val="single" w:color="auto" w:sz="4" w:space="0"/>
                    <w:right w:val="single" w:color="auto" w:sz="4" w:space="0"/>
                  </w:tcBorders>
                  <w:vAlign w:val="center"/>
                </w:tcPr>
                <w:p>
                  <w:pPr>
                    <w:pStyle w:val="119"/>
                  </w:pPr>
                </w:p>
              </w:tc>
              <w:tc>
                <w:tcPr>
                  <w:tcW w:w="995" w:type="dxa"/>
                  <w:tcBorders>
                    <w:top w:val="single" w:color="auto" w:sz="4" w:space="0"/>
                    <w:left w:val="single" w:color="auto" w:sz="4" w:space="0"/>
                    <w:bottom w:val="single" w:color="auto" w:sz="4" w:space="0"/>
                    <w:right w:val="single" w:color="auto" w:sz="4" w:space="0"/>
                  </w:tcBorders>
                  <w:vAlign w:val="center"/>
                </w:tcPr>
                <w:p>
                  <w:pPr>
                    <w:pStyle w:val="119"/>
                  </w:pPr>
                </w:p>
              </w:tc>
              <w:tc>
                <w:tcPr>
                  <w:tcW w:w="424" w:type="dxa"/>
                  <w:tcBorders>
                    <w:top w:val="single" w:color="auto" w:sz="4" w:space="0"/>
                    <w:left w:val="single" w:color="auto" w:sz="4" w:space="0"/>
                    <w:bottom w:val="single" w:color="auto" w:sz="4" w:space="0"/>
                    <w:right w:val="single" w:color="auto" w:sz="4" w:space="0"/>
                  </w:tcBorders>
                  <w:noWrap/>
                  <w:vAlign w:val="center"/>
                </w:tcPr>
                <w:p>
                  <w:pPr>
                    <w:pStyle w:val="119"/>
                  </w:pPr>
                </w:p>
              </w:tc>
              <w:tc>
                <w:tcPr>
                  <w:tcW w:w="996" w:type="dxa"/>
                  <w:tcBorders>
                    <w:top w:val="single" w:color="auto" w:sz="4" w:space="0"/>
                    <w:left w:val="single" w:color="auto" w:sz="4" w:space="0"/>
                    <w:bottom w:val="single" w:color="auto" w:sz="4" w:space="0"/>
                    <w:right w:val="single" w:color="auto" w:sz="4" w:space="0"/>
                  </w:tcBorders>
                  <w:noWrap/>
                  <w:vAlign w:val="center"/>
                </w:tcPr>
                <w:p>
                  <w:pPr>
                    <w:pStyle w:val="119"/>
                    <w:rPr>
                      <w:rFonts w:eastAsia="等线"/>
                      <w:szCs w:val="21"/>
                    </w:rPr>
                  </w:pPr>
                </w:p>
              </w:tc>
              <w:tc>
                <w:tcPr>
                  <w:tcW w:w="835" w:type="dxa"/>
                  <w:tcBorders>
                    <w:top w:val="single" w:color="auto" w:sz="4" w:space="0"/>
                    <w:left w:val="single" w:color="auto" w:sz="4" w:space="0"/>
                    <w:bottom w:val="single" w:color="auto" w:sz="4" w:space="0"/>
                    <w:right w:val="single" w:color="auto" w:sz="4" w:space="0"/>
                  </w:tcBorders>
                  <w:noWrap/>
                  <w:vAlign w:val="center"/>
                </w:tcPr>
                <w:p>
                  <w:pPr>
                    <w:pStyle w:val="119"/>
                    <w:rPr>
                      <w:rFonts w:eastAsia="等线"/>
                      <w:szCs w:val="21"/>
                    </w:rPr>
                  </w:pPr>
                </w:p>
              </w:tc>
              <w:tc>
                <w:tcPr>
                  <w:tcW w:w="0" w:type="auto"/>
                  <w:vMerge w:val="continue"/>
                  <w:tcBorders>
                    <w:left w:val="single" w:color="auto" w:sz="4" w:space="0"/>
                    <w:bottom w:val="single" w:color="auto" w:sz="4" w:space="0"/>
                    <w:right w:val="single" w:color="auto" w:sz="4" w:space="0"/>
                  </w:tcBorders>
                  <w:vAlign w:val="center"/>
                </w:tcPr>
                <w:p>
                  <w:pPr>
                    <w:widowControl/>
                    <w:jc w:val="left"/>
                    <w:rPr>
                      <w:rFonts w:ascii="Times New Roman" w:hAnsi="Times New Roman" w:cs="Times New Roman"/>
                      <w:kern w:val="0"/>
                      <w:szCs w:val="20"/>
                    </w:rPr>
                  </w:pPr>
                </w:p>
              </w:tc>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cs="Times New Roman"/>
                      <w:kern w:val="0"/>
                      <w:szCs w:val="20"/>
                    </w:rPr>
                  </w:pPr>
                </w:p>
              </w:tc>
              <w:tc>
                <w:tcPr>
                  <w:tcW w:w="424" w:type="dxa"/>
                  <w:tcBorders>
                    <w:top w:val="single" w:color="auto" w:sz="4" w:space="0"/>
                    <w:left w:val="single" w:color="auto" w:sz="4" w:space="0"/>
                    <w:bottom w:val="single" w:color="auto" w:sz="4" w:space="0"/>
                    <w:right w:val="single" w:color="auto" w:sz="4" w:space="0"/>
                  </w:tcBorders>
                  <w:noWrap/>
                  <w:vAlign w:val="center"/>
                </w:tcPr>
                <w:p>
                  <w:pPr>
                    <w:pStyle w:val="119"/>
                  </w:pPr>
                  <w:r>
                    <w:rPr>
                      <w:rFonts w:hint="eastAsia"/>
                    </w:rPr>
                    <w:t>水</w:t>
                  </w:r>
                </w:p>
              </w:tc>
              <w:tc>
                <w:tcPr>
                  <w:tcW w:w="1121" w:type="dxa"/>
                  <w:tcBorders>
                    <w:top w:val="single" w:color="auto" w:sz="4" w:space="0"/>
                    <w:left w:val="single" w:color="auto" w:sz="4" w:space="0"/>
                    <w:bottom w:val="single" w:color="auto" w:sz="4" w:space="0"/>
                    <w:right w:val="single" w:color="auto" w:sz="4" w:space="0"/>
                  </w:tcBorders>
                  <w:noWrap/>
                  <w:vAlign w:val="center"/>
                </w:tcPr>
                <w:p>
                  <w:pPr>
                    <w:pStyle w:val="119"/>
                    <w:rPr>
                      <w:rFonts w:eastAsia="等线"/>
                      <w:szCs w:val="21"/>
                    </w:rPr>
                  </w:pPr>
                  <w:r>
                    <w:rPr>
                      <w:rFonts w:eastAsia="等线"/>
                      <w:szCs w:val="21"/>
                    </w:rPr>
                    <w:t>4526.5</w:t>
                  </w:r>
                </w:p>
              </w:tc>
              <w:tc>
                <w:tcPr>
                  <w:tcW w:w="788" w:type="dxa"/>
                  <w:tcBorders>
                    <w:top w:val="single" w:color="auto" w:sz="4" w:space="0"/>
                    <w:left w:val="single" w:color="auto" w:sz="4" w:space="0"/>
                    <w:bottom w:val="single" w:color="auto" w:sz="4" w:space="0"/>
                    <w:right w:val="nil"/>
                  </w:tcBorders>
                  <w:noWrap/>
                  <w:vAlign w:val="center"/>
                </w:tcPr>
                <w:p>
                  <w:pPr>
                    <w:pStyle w:val="119"/>
                    <w:rPr>
                      <w:rFonts w:eastAsia="等线"/>
                      <w:szCs w:val="21"/>
                    </w:rPr>
                  </w:pPr>
                  <w:r>
                    <w:rPr>
                      <w:rFonts w:eastAsia="等线"/>
                      <w:szCs w:val="21"/>
                    </w:rPr>
                    <w:t>12.4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8" w:hRule="atLeast"/>
              </w:trPr>
              <w:tc>
                <w:tcPr>
                  <w:tcW w:w="804" w:type="dxa"/>
                  <w:vMerge w:val="restart"/>
                  <w:tcBorders>
                    <w:top w:val="single" w:color="auto" w:sz="4" w:space="0"/>
                    <w:left w:val="nil"/>
                    <w:right w:val="single" w:color="auto" w:sz="4" w:space="0"/>
                  </w:tcBorders>
                  <w:vAlign w:val="center"/>
                </w:tcPr>
                <w:p>
                  <w:pPr>
                    <w:pStyle w:val="119"/>
                  </w:pPr>
                </w:p>
              </w:tc>
              <w:tc>
                <w:tcPr>
                  <w:tcW w:w="995" w:type="dxa"/>
                  <w:vMerge w:val="restart"/>
                  <w:tcBorders>
                    <w:top w:val="single" w:color="auto" w:sz="4" w:space="0"/>
                    <w:left w:val="single" w:color="auto" w:sz="4" w:space="0"/>
                    <w:right w:val="single" w:color="auto" w:sz="4" w:space="0"/>
                  </w:tcBorders>
                  <w:vAlign w:val="center"/>
                </w:tcPr>
                <w:p>
                  <w:pPr>
                    <w:pStyle w:val="119"/>
                  </w:pPr>
                </w:p>
              </w:tc>
              <w:tc>
                <w:tcPr>
                  <w:tcW w:w="424" w:type="dxa"/>
                  <w:vMerge w:val="restart"/>
                  <w:tcBorders>
                    <w:top w:val="single" w:color="auto" w:sz="4" w:space="0"/>
                    <w:left w:val="single" w:color="auto" w:sz="4" w:space="0"/>
                    <w:right w:val="single" w:color="auto" w:sz="4" w:space="0"/>
                  </w:tcBorders>
                  <w:noWrap/>
                  <w:vAlign w:val="center"/>
                </w:tcPr>
                <w:p>
                  <w:pPr>
                    <w:pStyle w:val="119"/>
                  </w:pPr>
                </w:p>
              </w:tc>
              <w:tc>
                <w:tcPr>
                  <w:tcW w:w="996" w:type="dxa"/>
                  <w:vMerge w:val="restart"/>
                  <w:tcBorders>
                    <w:top w:val="single" w:color="auto" w:sz="4" w:space="0"/>
                    <w:left w:val="single" w:color="auto" w:sz="4" w:space="0"/>
                    <w:right w:val="single" w:color="auto" w:sz="4" w:space="0"/>
                  </w:tcBorders>
                  <w:noWrap/>
                  <w:vAlign w:val="center"/>
                </w:tcPr>
                <w:p>
                  <w:pPr>
                    <w:pStyle w:val="119"/>
                    <w:rPr>
                      <w:rFonts w:eastAsia="等线"/>
                      <w:szCs w:val="21"/>
                    </w:rPr>
                  </w:pPr>
                </w:p>
              </w:tc>
              <w:tc>
                <w:tcPr>
                  <w:tcW w:w="835" w:type="dxa"/>
                  <w:vMerge w:val="restart"/>
                  <w:tcBorders>
                    <w:top w:val="single" w:color="auto" w:sz="4" w:space="0"/>
                    <w:left w:val="single" w:color="auto" w:sz="4" w:space="0"/>
                    <w:right w:val="single" w:color="auto" w:sz="4" w:space="0"/>
                  </w:tcBorders>
                  <w:noWrap/>
                  <w:vAlign w:val="center"/>
                </w:tcPr>
                <w:p>
                  <w:pPr>
                    <w:pStyle w:val="119"/>
                    <w:rPr>
                      <w:rFonts w:eastAsia="等线"/>
                      <w:szCs w:val="21"/>
                    </w:rPr>
                  </w:pPr>
                </w:p>
              </w:tc>
              <w:tc>
                <w:tcPr>
                  <w:tcW w:w="0" w:type="auto"/>
                  <w:vMerge w:val="restart"/>
                  <w:tcBorders>
                    <w:left w:val="single" w:color="auto" w:sz="4" w:space="0"/>
                    <w:right w:val="single" w:color="auto" w:sz="4" w:space="0"/>
                  </w:tcBorders>
                  <w:vAlign w:val="center"/>
                </w:tcPr>
                <w:p>
                  <w:pPr>
                    <w:widowControl/>
                    <w:jc w:val="left"/>
                    <w:rPr>
                      <w:rFonts w:ascii="Times New Roman" w:hAnsi="Times New Roman" w:eastAsia="宋体" w:cs="Times New Roman"/>
                      <w:kern w:val="0"/>
                      <w:szCs w:val="20"/>
                    </w:rPr>
                  </w:pPr>
                  <w:r>
                    <w:rPr>
                      <w:rFonts w:ascii="Times New Roman" w:hAnsi="Times New Roman" w:eastAsia="宋体" w:cs="Times New Roman"/>
                      <w:kern w:val="0"/>
                      <w:szCs w:val="20"/>
                    </w:rPr>
                    <w:t>土壤修复剂（含水25%）</w:t>
                  </w:r>
                </w:p>
              </w:tc>
              <w:tc>
                <w:tcPr>
                  <w:tcW w:w="0" w:type="auto"/>
                  <w:vMerge w:val="restart"/>
                  <w:tcBorders>
                    <w:top w:val="single" w:color="auto" w:sz="4" w:space="0"/>
                    <w:left w:val="single" w:color="auto" w:sz="4" w:space="0"/>
                    <w:right w:val="single" w:color="auto" w:sz="4" w:space="0"/>
                  </w:tcBorders>
                  <w:vAlign w:val="center"/>
                </w:tcPr>
                <w:p>
                  <w:pPr>
                    <w:widowControl/>
                    <w:jc w:val="center"/>
                    <w:rPr>
                      <w:rFonts w:ascii="Times New Roman" w:hAnsi="Times New Roman" w:cs="Times New Roman"/>
                      <w:kern w:val="0"/>
                      <w:szCs w:val="20"/>
                    </w:rPr>
                  </w:pPr>
                  <w:r>
                    <w:rPr>
                      <w:rFonts w:ascii="Times New Roman" w:hAnsi="Times New Roman" w:cs="Times New Roman"/>
                      <w:kern w:val="0"/>
                      <w:szCs w:val="20"/>
                    </w:rPr>
                    <w:t>115220</w:t>
                  </w:r>
                </w:p>
              </w:tc>
              <w:tc>
                <w:tcPr>
                  <w:tcW w:w="424" w:type="dxa"/>
                  <w:tcBorders>
                    <w:top w:val="single" w:color="auto" w:sz="4" w:space="0"/>
                    <w:left w:val="single" w:color="auto" w:sz="4" w:space="0"/>
                    <w:bottom w:val="single" w:color="auto" w:sz="4" w:space="0"/>
                    <w:right w:val="single" w:color="auto" w:sz="4" w:space="0"/>
                  </w:tcBorders>
                  <w:noWrap/>
                  <w:vAlign w:val="center"/>
                </w:tcPr>
                <w:p>
                  <w:pPr>
                    <w:pStyle w:val="119"/>
                  </w:pPr>
                  <w:r>
                    <w:rPr>
                      <w:rFonts w:hint="eastAsia"/>
                    </w:rPr>
                    <w:t>料量</w:t>
                  </w:r>
                </w:p>
              </w:tc>
              <w:tc>
                <w:tcPr>
                  <w:tcW w:w="1121" w:type="dxa"/>
                  <w:tcBorders>
                    <w:top w:val="single" w:color="auto" w:sz="4" w:space="0"/>
                    <w:left w:val="single" w:color="auto" w:sz="4" w:space="0"/>
                    <w:bottom w:val="single" w:color="auto" w:sz="4" w:space="0"/>
                    <w:right w:val="single" w:color="auto" w:sz="4" w:space="0"/>
                  </w:tcBorders>
                  <w:noWrap/>
                  <w:vAlign w:val="center"/>
                </w:tcPr>
                <w:p>
                  <w:pPr>
                    <w:pStyle w:val="119"/>
                    <w:rPr>
                      <w:rFonts w:eastAsia="等线"/>
                      <w:szCs w:val="21"/>
                    </w:rPr>
                  </w:pPr>
                  <w:r>
                    <w:rPr>
                      <w:rFonts w:eastAsia="等线"/>
                      <w:szCs w:val="21"/>
                    </w:rPr>
                    <w:t>86415</w:t>
                  </w:r>
                </w:p>
              </w:tc>
              <w:tc>
                <w:tcPr>
                  <w:tcW w:w="788" w:type="dxa"/>
                  <w:tcBorders>
                    <w:top w:val="single" w:color="auto" w:sz="4" w:space="0"/>
                    <w:left w:val="single" w:color="auto" w:sz="4" w:space="0"/>
                    <w:bottom w:val="single" w:color="auto" w:sz="4" w:space="0"/>
                    <w:right w:val="nil"/>
                  </w:tcBorders>
                  <w:noWrap/>
                  <w:vAlign w:val="center"/>
                </w:tcPr>
                <w:p>
                  <w:pPr>
                    <w:pStyle w:val="119"/>
                    <w:rPr>
                      <w:rFonts w:eastAsia="等线"/>
                      <w:szCs w:val="21"/>
                    </w:rPr>
                  </w:pPr>
                  <w:r>
                    <w:rPr>
                      <w:rFonts w:eastAsia="等线"/>
                      <w:szCs w:val="21"/>
                    </w:rPr>
                    <w:t>236.75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804" w:type="dxa"/>
                  <w:vMerge w:val="continue"/>
                  <w:tcBorders>
                    <w:left w:val="nil"/>
                    <w:bottom w:val="single" w:color="auto" w:sz="4" w:space="0"/>
                    <w:right w:val="single" w:color="auto" w:sz="4" w:space="0"/>
                  </w:tcBorders>
                  <w:vAlign w:val="center"/>
                </w:tcPr>
                <w:p>
                  <w:pPr>
                    <w:pStyle w:val="119"/>
                  </w:pPr>
                </w:p>
              </w:tc>
              <w:tc>
                <w:tcPr>
                  <w:tcW w:w="995" w:type="dxa"/>
                  <w:vMerge w:val="continue"/>
                  <w:tcBorders>
                    <w:left w:val="single" w:color="auto" w:sz="4" w:space="0"/>
                    <w:bottom w:val="single" w:color="auto" w:sz="4" w:space="0"/>
                    <w:right w:val="single" w:color="auto" w:sz="4" w:space="0"/>
                  </w:tcBorders>
                  <w:vAlign w:val="center"/>
                </w:tcPr>
                <w:p>
                  <w:pPr>
                    <w:pStyle w:val="119"/>
                  </w:pPr>
                </w:p>
              </w:tc>
              <w:tc>
                <w:tcPr>
                  <w:tcW w:w="424" w:type="dxa"/>
                  <w:vMerge w:val="continue"/>
                  <w:tcBorders>
                    <w:left w:val="single" w:color="auto" w:sz="4" w:space="0"/>
                    <w:bottom w:val="single" w:color="auto" w:sz="4" w:space="0"/>
                    <w:right w:val="single" w:color="auto" w:sz="4" w:space="0"/>
                  </w:tcBorders>
                  <w:noWrap/>
                  <w:vAlign w:val="center"/>
                </w:tcPr>
                <w:p>
                  <w:pPr>
                    <w:pStyle w:val="119"/>
                  </w:pPr>
                </w:p>
              </w:tc>
              <w:tc>
                <w:tcPr>
                  <w:tcW w:w="996" w:type="dxa"/>
                  <w:vMerge w:val="continue"/>
                  <w:tcBorders>
                    <w:left w:val="single" w:color="auto" w:sz="4" w:space="0"/>
                    <w:bottom w:val="single" w:color="auto" w:sz="4" w:space="0"/>
                    <w:right w:val="single" w:color="auto" w:sz="4" w:space="0"/>
                  </w:tcBorders>
                  <w:noWrap/>
                  <w:vAlign w:val="center"/>
                </w:tcPr>
                <w:p>
                  <w:pPr>
                    <w:pStyle w:val="119"/>
                    <w:rPr>
                      <w:rFonts w:eastAsia="等线"/>
                      <w:szCs w:val="21"/>
                    </w:rPr>
                  </w:pPr>
                </w:p>
              </w:tc>
              <w:tc>
                <w:tcPr>
                  <w:tcW w:w="835" w:type="dxa"/>
                  <w:vMerge w:val="continue"/>
                  <w:tcBorders>
                    <w:left w:val="single" w:color="auto" w:sz="4" w:space="0"/>
                    <w:bottom w:val="single" w:color="auto" w:sz="4" w:space="0"/>
                    <w:right w:val="single" w:color="auto" w:sz="4" w:space="0"/>
                  </w:tcBorders>
                  <w:noWrap/>
                  <w:vAlign w:val="center"/>
                </w:tcPr>
                <w:p>
                  <w:pPr>
                    <w:pStyle w:val="119"/>
                    <w:rPr>
                      <w:rFonts w:eastAsia="等线"/>
                      <w:szCs w:val="21"/>
                    </w:rPr>
                  </w:pPr>
                </w:p>
              </w:tc>
              <w:tc>
                <w:tcPr>
                  <w:tcW w:w="0" w:type="auto"/>
                  <w:vMerge w:val="continue"/>
                  <w:tcBorders>
                    <w:left w:val="single" w:color="auto" w:sz="4" w:space="0"/>
                    <w:bottom w:val="single" w:color="auto" w:sz="4" w:space="0"/>
                    <w:right w:val="single" w:color="auto" w:sz="4" w:space="0"/>
                  </w:tcBorders>
                  <w:vAlign w:val="center"/>
                </w:tcPr>
                <w:p>
                  <w:pPr>
                    <w:widowControl/>
                    <w:jc w:val="left"/>
                    <w:rPr>
                      <w:rFonts w:ascii="Times New Roman" w:hAnsi="Times New Roman" w:eastAsia="宋体" w:cs="Times New Roman"/>
                      <w:kern w:val="0"/>
                      <w:szCs w:val="20"/>
                    </w:rPr>
                  </w:pPr>
                </w:p>
              </w:tc>
              <w:tc>
                <w:tcPr>
                  <w:tcW w:w="0" w:type="auto"/>
                  <w:vMerge w:val="continue"/>
                  <w:tcBorders>
                    <w:left w:val="single" w:color="auto" w:sz="4" w:space="0"/>
                    <w:bottom w:val="single" w:color="auto" w:sz="4" w:space="0"/>
                    <w:right w:val="single" w:color="auto" w:sz="4" w:space="0"/>
                  </w:tcBorders>
                  <w:vAlign w:val="center"/>
                </w:tcPr>
                <w:p>
                  <w:pPr>
                    <w:widowControl/>
                    <w:jc w:val="left"/>
                    <w:rPr>
                      <w:rFonts w:ascii="Times New Roman" w:hAnsi="Times New Roman" w:cs="Times New Roman"/>
                      <w:kern w:val="0"/>
                      <w:szCs w:val="20"/>
                    </w:rPr>
                  </w:pPr>
                </w:p>
              </w:tc>
              <w:tc>
                <w:tcPr>
                  <w:tcW w:w="424" w:type="dxa"/>
                  <w:tcBorders>
                    <w:top w:val="single" w:color="auto" w:sz="4" w:space="0"/>
                    <w:left w:val="single" w:color="auto" w:sz="4" w:space="0"/>
                    <w:bottom w:val="single" w:color="auto" w:sz="4" w:space="0"/>
                    <w:right w:val="single" w:color="auto" w:sz="4" w:space="0"/>
                  </w:tcBorders>
                  <w:noWrap/>
                  <w:vAlign w:val="center"/>
                </w:tcPr>
                <w:p>
                  <w:pPr>
                    <w:pStyle w:val="119"/>
                  </w:pPr>
                  <w:r>
                    <w:rPr>
                      <w:rFonts w:hint="eastAsia"/>
                    </w:rPr>
                    <w:t>水</w:t>
                  </w:r>
                </w:p>
              </w:tc>
              <w:tc>
                <w:tcPr>
                  <w:tcW w:w="1121" w:type="dxa"/>
                  <w:tcBorders>
                    <w:top w:val="single" w:color="auto" w:sz="4" w:space="0"/>
                    <w:left w:val="single" w:color="auto" w:sz="4" w:space="0"/>
                    <w:bottom w:val="single" w:color="auto" w:sz="4" w:space="0"/>
                    <w:right w:val="single" w:color="auto" w:sz="4" w:space="0"/>
                  </w:tcBorders>
                  <w:noWrap/>
                  <w:vAlign w:val="center"/>
                </w:tcPr>
                <w:p>
                  <w:pPr>
                    <w:pStyle w:val="119"/>
                    <w:rPr>
                      <w:rFonts w:eastAsia="等线"/>
                      <w:szCs w:val="21"/>
                    </w:rPr>
                  </w:pPr>
                  <w:r>
                    <w:rPr>
                      <w:rFonts w:hint="eastAsia" w:eastAsia="等线"/>
                      <w:szCs w:val="21"/>
                    </w:rPr>
                    <w:t>2</w:t>
                  </w:r>
                  <w:r>
                    <w:rPr>
                      <w:rFonts w:eastAsia="等线"/>
                      <w:szCs w:val="21"/>
                    </w:rPr>
                    <w:t>8805</w:t>
                  </w:r>
                </w:p>
              </w:tc>
              <w:tc>
                <w:tcPr>
                  <w:tcW w:w="788" w:type="dxa"/>
                  <w:tcBorders>
                    <w:top w:val="single" w:color="auto" w:sz="4" w:space="0"/>
                    <w:left w:val="single" w:color="auto" w:sz="4" w:space="0"/>
                    <w:bottom w:val="single" w:color="auto" w:sz="4" w:space="0"/>
                    <w:right w:val="nil"/>
                  </w:tcBorders>
                  <w:noWrap/>
                  <w:vAlign w:val="center"/>
                </w:tcPr>
                <w:p>
                  <w:pPr>
                    <w:pStyle w:val="119"/>
                    <w:rPr>
                      <w:rFonts w:eastAsia="等线"/>
                      <w:szCs w:val="21"/>
                    </w:rPr>
                  </w:pPr>
                  <w:r>
                    <w:rPr>
                      <w:rFonts w:hint="eastAsia" w:eastAsia="等线"/>
                      <w:szCs w:val="21"/>
                    </w:rPr>
                    <w:t>7</w:t>
                  </w:r>
                  <w:r>
                    <w:rPr>
                      <w:rFonts w:eastAsia="等线"/>
                      <w:szCs w:val="21"/>
                    </w:rPr>
                    <w:t>8.92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5" w:hRule="atLeast"/>
              </w:trPr>
              <w:tc>
                <w:tcPr>
                  <w:tcW w:w="804" w:type="dxa"/>
                  <w:tcBorders>
                    <w:top w:val="single" w:color="auto" w:sz="4" w:space="0"/>
                    <w:left w:val="nil"/>
                    <w:bottom w:val="single" w:color="auto" w:sz="4" w:space="0"/>
                    <w:right w:val="single" w:color="auto" w:sz="4" w:space="0"/>
                  </w:tcBorders>
                  <w:vAlign w:val="center"/>
                </w:tcPr>
                <w:p>
                  <w:pPr>
                    <w:pStyle w:val="119"/>
                  </w:pPr>
                </w:p>
              </w:tc>
              <w:tc>
                <w:tcPr>
                  <w:tcW w:w="995" w:type="dxa"/>
                  <w:tcBorders>
                    <w:top w:val="single" w:color="auto" w:sz="4" w:space="0"/>
                    <w:left w:val="single" w:color="auto" w:sz="4" w:space="0"/>
                    <w:bottom w:val="single" w:color="auto" w:sz="4" w:space="0"/>
                    <w:right w:val="single" w:color="auto" w:sz="4" w:space="0"/>
                  </w:tcBorders>
                  <w:vAlign w:val="center"/>
                </w:tcPr>
                <w:p>
                  <w:pPr>
                    <w:pStyle w:val="119"/>
                  </w:pPr>
                </w:p>
              </w:tc>
              <w:tc>
                <w:tcPr>
                  <w:tcW w:w="424" w:type="dxa"/>
                  <w:tcBorders>
                    <w:top w:val="single" w:color="auto" w:sz="4" w:space="0"/>
                    <w:left w:val="single" w:color="auto" w:sz="4" w:space="0"/>
                    <w:bottom w:val="single" w:color="auto" w:sz="4" w:space="0"/>
                    <w:right w:val="single" w:color="auto" w:sz="4" w:space="0"/>
                  </w:tcBorders>
                  <w:noWrap/>
                  <w:vAlign w:val="center"/>
                </w:tcPr>
                <w:p>
                  <w:pPr>
                    <w:pStyle w:val="119"/>
                  </w:pPr>
                </w:p>
              </w:tc>
              <w:tc>
                <w:tcPr>
                  <w:tcW w:w="996" w:type="dxa"/>
                  <w:tcBorders>
                    <w:top w:val="single" w:color="auto" w:sz="4" w:space="0"/>
                    <w:left w:val="single" w:color="auto" w:sz="4" w:space="0"/>
                    <w:bottom w:val="single" w:color="auto" w:sz="4" w:space="0"/>
                    <w:right w:val="single" w:color="auto" w:sz="4" w:space="0"/>
                  </w:tcBorders>
                  <w:noWrap/>
                  <w:vAlign w:val="center"/>
                </w:tcPr>
                <w:p>
                  <w:pPr>
                    <w:pStyle w:val="119"/>
                    <w:rPr>
                      <w:rFonts w:eastAsia="等线"/>
                      <w:szCs w:val="21"/>
                    </w:rPr>
                  </w:pPr>
                </w:p>
              </w:tc>
              <w:tc>
                <w:tcPr>
                  <w:tcW w:w="835" w:type="dxa"/>
                  <w:tcBorders>
                    <w:top w:val="single" w:color="auto" w:sz="4" w:space="0"/>
                    <w:left w:val="single" w:color="auto" w:sz="4" w:space="0"/>
                    <w:bottom w:val="single" w:color="auto" w:sz="4" w:space="0"/>
                    <w:right w:val="single" w:color="auto" w:sz="4" w:space="0"/>
                  </w:tcBorders>
                  <w:noWrap/>
                  <w:vAlign w:val="center"/>
                </w:tcPr>
                <w:p>
                  <w:pPr>
                    <w:pStyle w:val="119"/>
                    <w:rPr>
                      <w:rFonts w:eastAsia="等线"/>
                      <w:szCs w:val="21"/>
                    </w:rPr>
                  </w:pPr>
                </w:p>
              </w:tc>
              <w:tc>
                <w:tcPr>
                  <w:tcW w:w="942" w:type="dxa"/>
                  <w:tcBorders>
                    <w:top w:val="single" w:color="auto" w:sz="4" w:space="0"/>
                    <w:left w:val="single" w:color="auto" w:sz="4" w:space="0"/>
                    <w:bottom w:val="single" w:color="auto" w:sz="4" w:space="0"/>
                    <w:right w:val="single" w:color="auto" w:sz="4" w:space="0"/>
                  </w:tcBorders>
                  <w:vAlign w:val="center"/>
                </w:tcPr>
                <w:p>
                  <w:pPr>
                    <w:pStyle w:val="119"/>
                  </w:pPr>
                  <w:r>
                    <w:rPr>
                      <w:rFonts w:hint="eastAsia"/>
                    </w:rPr>
                    <w:t>蒸发损耗水</w:t>
                  </w:r>
                </w:p>
              </w:tc>
              <w:tc>
                <w:tcPr>
                  <w:tcW w:w="1121" w:type="dxa"/>
                  <w:tcBorders>
                    <w:top w:val="single" w:color="auto" w:sz="4" w:space="0"/>
                    <w:left w:val="single" w:color="auto" w:sz="4" w:space="0"/>
                    <w:bottom w:val="single" w:color="auto" w:sz="4" w:space="0"/>
                    <w:right w:val="single" w:color="auto" w:sz="4" w:space="0"/>
                  </w:tcBorders>
                  <w:vAlign w:val="center"/>
                </w:tcPr>
                <w:p>
                  <w:pPr>
                    <w:pStyle w:val="119"/>
                    <w:rPr>
                      <w:rFonts w:eastAsia="等线"/>
                      <w:szCs w:val="21"/>
                    </w:rPr>
                  </w:pPr>
                  <w:r>
                    <w:rPr>
                      <w:rFonts w:eastAsia="等线"/>
                      <w:szCs w:val="21"/>
                    </w:rPr>
                    <w:t>36978.15</w:t>
                  </w:r>
                </w:p>
              </w:tc>
              <w:tc>
                <w:tcPr>
                  <w:tcW w:w="424" w:type="dxa"/>
                  <w:tcBorders>
                    <w:top w:val="single" w:color="auto" w:sz="4" w:space="0"/>
                    <w:left w:val="single" w:color="auto" w:sz="4" w:space="0"/>
                    <w:bottom w:val="single" w:color="auto" w:sz="4" w:space="0"/>
                    <w:right w:val="single" w:color="auto" w:sz="4" w:space="0"/>
                  </w:tcBorders>
                  <w:noWrap/>
                  <w:vAlign w:val="center"/>
                </w:tcPr>
                <w:p>
                  <w:pPr>
                    <w:pStyle w:val="119"/>
                  </w:pPr>
                  <w:r>
                    <w:rPr>
                      <w:rFonts w:hint="eastAsia"/>
                    </w:rPr>
                    <w:t>水</w:t>
                  </w:r>
                </w:p>
              </w:tc>
              <w:tc>
                <w:tcPr>
                  <w:tcW w:w="1121" w:type="dxa"/>
                  <w:tcBorders>
                    <w:top w:val="single" w:color="auto" w:sz="4" w:space="0"/>
                    <w:left w:val="single" w:color="auto" w:sz="4" w:space="0"/>
                    <w:bottom w:val="single" w:color="auto" w:sz="4" w:space="0"/>
                    <w:right w:val="single" w:color="auto" w:sz="4" w:space="0"/>
                  </w:tcBorders>
                  <w:noWrap/>
                  <w:vAlign w:val="center"/>
                </w:tcPr>
                <w:p>
                  <w:pPr>
                    <w:pStyle w:val="119"/>
                    <w:rPr>
                      <w:rFonts w:eastAsia="等线"/>
                      <w:szCs w:val="21"/>
                    </w:rPr>
                  </w:pPr>
                  <w:r>
                    <w:rPr>
                      <w:rFonts w:eastAsia="等线"/>
                      <w:szCs w:val="21"/>
                    </w:rPr>
                    <w:t>36978.15</w:t>
                  </w:r>
                </w:p>
              </w:tc>
              <w:tc>
                <w:tcPr>
                  <w:tcW w:w="788" w:type="dxa"/>
                  <w:tcBorders>
                    <w:top w:val="single" w:color="auto" w:sz="4" w:space="0"/>
                    <w:left w:val="single" w:color="auto" w:sz="4" w:space="0"/>
                    <w:bottom w:val="single" w:color="auto" w:sz="4" w:space="0"/>
                    <w:right w:val="nil"/>
                  </w:tcBorders>
                  <w:noWrap/>
                  <w:vAlign w:val="center"/>
                </w:tcPr>
                <w:p>
                  <w:pPr>
                    <w:pStyle w:val="119"/>
                    <w:rPr>
                      <w:rFonts w:eastAsia="等线"/>
                      <w:szCs w:val="21"/>
                    </w:rPr>
                  </w:pPr>
                  <w:r>
                    <w:rPr>
                      <w:rFonts w:eastAsia="等线"/>
                      <w:szCs w:val="21"/>
                    </w:rPr>
                    <w:t>101.31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04" w:type="dxa"/>
                  <w:tcBorders>
                    <w:top w:val="single" w:color="auto" w:sz="4" w:space="0"/>
                    <w:left w:val="nil"/>
                    <w:bottom w:val="single" w:color="auto" w:sz="12" w:space="0"/>
                    <w:right w:val="single" w:color="auto" w:sz="4" w:space="0"/>
                  </w:tcBorders>
                  <w:noWrap/>
                  <w:vAlign w:val="center"/>
                </w:tcPr>
                <w:p>
                  <w:pPr>
                    <w:pStyle w:val="119"/>
                  </w:pPr>
                  <w:r>
                    <w:rPr>
                      <w:rFonts w:hint="eastAsia"/>
                    </w:rPr>
                    <w:t>合计</w:t>
                  </w:r>
                </w:p>
              </w:tc>
              <w:tc>
                <w:tcPr>
                  <w:tcW w:w="995" w:type="dxa"/>
                  <w:tcBorders>
                    <w:top w:val="single" w:color="auto" w:sz="4" w:space="0"/>
                    <w:left w:val="single" w:color="auto" w:sz="4" w:space="0"/>
                    <w:bottom w:val="single" w:color="auto" w:sz="12" w:space="0"/>
                    <w:right w:val="single" w:color="auto" w:sz="4" w:space="0"/>
                  </w:tcBorders>
                  <w:noWrap/>
                  <w:vAlign w:val="center"/>
                </w:tcPr>
                <w:p>
                  <w:pPr>
                    <w:pStyle w:val="119"/>
                  </w:pPr>
                  <w:r>
                    <w:rPr>
                      <w:rFonts w:hint="eastAsia"/>
                    </w:rPr>
                    <w:t>2</w:t>
                  </w:r>
                  <w:r>
                    <w:t>01578.2</w:t>
                  </w:r>
                </w:p>
              </w:tc>
              <w:tc>
                <w:tcPr>
                  <w:tcW w:w="424" w:type="dxa"/>
                  <w:tcBorders>
                    <w:top w:val="single" w:color="auto" w:sz="4" w:space="0"/>
                    <w:left w:val="single" w:color="auto" w:sz="4" w:space="0"/>
                    <w:bottom w:val="single" w:color="auto" w:sz="12" w:space="0"/>
                    <w:right w:val="single" w:color="auto" w:sz="4" w:space="0"/>
                  </w:tcBorders>
                  <w:noWrap/>
                  <w:vAlign w:val="center"/>
                </w:tcPr>
                <w:p>
                  <w:pPr>
                    <w:pStyle w:val="119"/>
                  </w:pPr>
                </w:p>
              </w:tc>
              <w:tc>
                <w:tcPr>
                  <w:tcW w:w="996" w:type="dxa"/>
                  <w:tcBorders>
                    <w:top w:val="single" w:color="auto" w:sz="4" w:space="0"/>
                    <w:left w:val="single" w:color="auto" w:sz="4" w:space="0"/>
                    <w:bottom w:val="single" w:color="auto" w:sz="12" w:space="0"/>
                    <w:right w:val="single" w:color="auto" w:sz="4" w:space="0"/>
                  </w:tcBorders>
                  <w:noWrap/>
                  <w:vAlign w:val="center"/>
                </w:tcPr>
                <w:p>
                  <w:pPr>
                    <w:pStyle w:val="119"/>
                    <w:rPr>
                      <w:rFonts w:eastAsia="等线"/>
                      <w:szCs w:val="21"/>
                    </w:rPr>
                  </w:pPr>
                  <w:r>
                    <w:rPr>
                      <w:rFonts w:hint="eastAsia" w:eastAsia="等线"/>
                      <w:szCs w:val="21"/>
                    </w:rPr>
                    <w:t>2</w:t>
                  </w:r>
                  <w:r>
                    <w:rPr>
                      <w:rFonts w:eastAsia="等线"/>
                      <w:szCs w:val="21"/>
                    </w:rPr>
                    <w:t>01578.2</w:t>
                  </w:r>
                </w:p>
              </w:tc>
              <w:tc>
                <w:tcPr>
                  <w:tcW w:w="835" w:type="dxa"/>
                  <w:tcBorders>
                    <w:top w:val="single" w:color="auto" w:sz="4" w:space="0"/>
                    <w:left w:val="single" w:color="auto" w:sz="4" w:space="0"/>
                    <w:bottom w:val="single" w:color="auto" w:sz="12" w:space="0"/>
                    <w:right w:val="single" w:color="auto" w:sz="4" w:space="0"/>
                  </w:tcBorders>
                  <w:noWrap/>
                  <w:vAlign w:val="center"/>
                </w:tcPr>
                <w:p>
                  <w:pPr>
                    <w:pStyle w:val="119"/>
                    <w:rPr>
                      <w:rFonts w:eastAsia="等线"/>
                      <w:szCs w:val="21"/>
                    </w:rPr>
                  </w:pPr>
                  <w:r>
                    <w:rPr>
                      <w:rFonts w:eastAsia="等线"/>
                      <w:szCs w:val="21"/>
                    </w:rPr>
                    <w:t>552.29</w:t>
                  </w:r>
                </w:p>
              </w:tc>
              <w:tc>
                <w:tcPr>
                  <w:tcW w:w="942" w:type="dxa"/>
                  <w:tcBorders>
                    <w:top w:val="single" w:color="auto" w:sz="4" w:space="0"/>
                    <w:left w:val="single" w:color="auto" w:sz="4" w:space="0"/>
                    <w:bottom w:val="single" w:color="auto" w:sz="12" w:space="0"/>
                    <w:right w:val="single" w:color="auto" w:sz="4" w:space="0"/>
                  </w:tcBorders>
                  <w:noWrap/>
                  <w:vAlign w:val="center"/>
                </w:tcPr>
                <w:p>
                  <w:pPr>
                    <w:pStyle w:val="119"/>
                  </w:pPr>
                </w:p>
              </w:tc>
              <w:tc>
                <w:tcPr>
                  <w:tcW w:w="1121" w:type="dxa"/>
                  <w:tcBorders>
                    <w:top w:val="single" w:color="auto" w:sz="4" w:space="0"/>
                    <w:left w:val="single" w:color="auto" w:sz="4" w:space="0"/>
                    <w:bottom w:val="single" w:color="auto" w:sz="12" w:space="0"/>
                    <w:right w:val="single" w:color="auto" w:sz="4" w:space="0"/>
                  </w:tcBorders>
                  <w:noWrap/>
                  <w:vAlign w:val="center"/>
                </w:tcPr>
                <w:p>
                  <w:pPr>
                    <w:pStyle w:val="119"/>
                    <w:rPr>
                      <w:rFonts w:eastAsia="等线"/>
                      <w:szCs w:val="21"/>
                    </w:rPr>
                  </w:pPr>
                  <w:r>
                    <w:rPr>
                      <w:rFonts w:hint="eastAsia" w:eastAsia="等线"/>
                      <w:szCs w:val="21"/>
                    </w:rPr>
                    <w:t>2</w:t>
                  </w:r>
                  <w:r>
                    <w:rPr>
                      <w:rFonts w:eastAsia="等线"/>
                      <w:szCs w:val="21"/>
                    </w:rPr>
                    <w:t>01578.2</w:t>
                  </w:r>
                </w:p>
              </w:tc>
              <w:tc>
                <w:tcPr>
                  <w:tcW w:w="424" w:type="dxa"/>
                  <w:tcBorders>
                    <w:top w:val="single" w:color="auto" w:sz="4" w:space="0"/>
                    <w:left w:val="single" w:color="auto" w:sz="4" w:space="0"/>
                    <w:bottom w:val="single" w:color="auto" w:sz="12" w:space="0"/>
                    <w:right w:val="single" w:color="auto" w:sz="4" w:space="0"/>
                  </w:tcBorders>
                  <w:noWrap/>
                  <w:vAlign w:val="center"/>
                </w:tcPr>
                <w:p>
                  <w:pPr>
                    <w:pStyle w:val="119"/>
                  </w:pPr>
                </w:p>
              </w:tc>
              <w:tc>
                <w:tcPr>
                  <w:tcW w:w="1121" w:type="dxa"/>
                  <w:tcBorders>
                    <w:top w:val="single" w:color="auto" w:sz="4" w:space="0"/>
                    <w:left w:val="single" w:color="auto" w:sz="4" w:space="0"/>
                    <w:bottom w:val="single" w:color="auto" w:sz="12" w:space="0"/>
                    <w:right w:val="single" w:color="auto" w:sz="4" w:space="0"/>
                  </w:tcBorders>
                  <w:noWrap/>
                  <w:vAlign w:val="center"/>
                </w:tcPr>
                <w:p>
                  <w:pPr>
                    <w:pStyle w:val="119"/>
                    <w:rPr>
                      <w:rFonts w:eastAsia="等线"/>
                      <w:szCs w:val="21"/>
                    </w:rPr>
                  </w:pPr>
                  <w:r>
                    <w:rPr>
                      <w:rFonts w:hint="eastAsia" w:eastAsia="等线"/>
                      <w:szCs w:val="21"/>
                    </w:rPr>
                    <w:t>2</w:t>
                  </w:r>
                  <w:r>
                    <w:rPr>
                      <w:rFonts w:eastAsia="等线"/>
                      <w:szCs w:val="21"/>
                    </w:rPr>
                    <w:t>01578.2</w:t>
                  </w:r>
                </w:p>
              </w:tc>
              <w:tc>
                <w:tcPr>
                  <w:tcW w:w="788" w:type="dxa"/>
                  <w:tcBorders>
                    <w:top w:val="single" w:color="auto" w:sz="4" w:space="0"/>
                    <w:left w:val="single" w:color="auto" w:sz="4" w:space="0"/>
                    <w:bottom w:val="single" w:color="auto" w:sz="12" w:space="0"/>
                    <w:right w:val="nil"/>
                  </w:tcBorders>
                  <w:noWrap/>
                  <w:vAlign w:val="center"/>
                </w:tcPr>
                <w:p>
                  <w:pPr>
                    <w:pStyle w:val="119"/>
                    <w:rPr>
                      <w:rFonts w:eastAsia="等线"/>
                      <w:szCs w:val="21"/>
                    </w:rPr>
                  </w:pPr>
                  <w:r>
                    <w:rPr>
                      <w:rFonts w:eastAsia="等线"/>
                      <w:szCs w:val="21"/>
                    </w:rPr>
                    <w:t>552.29</w:t>
                  </w:r>
                </w:p>
              </w:tc>
            </w:tr>
            <w:bookmarkEnd w:id="219"/>
            <w:bookmarkEnd w:id="221"/>
            <w:bookmarkEnd w:id="222"/>
          </w:tbl>
          <w:p>
            <w:pPr>
              <w:pStyle w:val="92"/>
              <w:spacing w:before="120"/>
              <w:rPr>
                <w:rFonts w:hint="default" w:ascii="Times New Roman" w:hAnsi="Times New Roman" w:cs="Times New Roman"/>
                <w:color w:val="auto"/>
              </w:rPr>
            </w:pPr>
            <w:r>
              <w:rPr>
                <w:rFonts w:hint="default" w:ascii="Times New Roman" w:hAnsi="Times New Roman" w:cs="Times New Roman"/>
                <w:color w:val="auto"/>
              </w:rPr>
              <w:t>项目平面布置</w:t>
            </w:r>
          </w:p>
          <w:p>
            <w:pPr>
              <w:pStyle w:val="81"/>
              <w:ind w:firstLine="480"/>
            </w:pPr>
            <w:r>
              <w:rPr>
                <w:rFonts w:hint="eastAsia"/>
              </w:rPr>
              <w:t>本项目布置充分利用现有厂区场地，生产设备均布置于全封闭车间内。现有成品库位于厂区中部，成品存放区位于现有成品库的东南侧；厂区综合考虑生产特点、工艺流程以及风向、建筑物朝向等进行布置，平面布置合理。</w:t>
            </w:r>
          </w:p>
          <w:p>
            <w:pPr>
              <w:pStyle w:val="81"/>
              <w:ind w:firstLine="480"/>
            </w:pPr>
            <w:r>
              <w:rPr>
                <w:rFonts w:hint="eastAsia"/>
              </w:rPr>
              <w:t>厂区东侧为空地，南侧为内蒙古金时空科技有限公司甲醇钠项目（停产），西侧为空地、北侧为益升航建材有限公司。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1" w:hRule="atLeast"/>
        </w:trPr>
        <w:tc>
          <w:tcPr>
            <w:tcW w:w="901" w:type="dxa"/>
            <w:tcBorders>
              <w:top w:val="single" w:color="auto" w:sz="4" w:space="0"/>
              <w:left w:val="single" w:color="auto" w:sz="4" w:space="0"/>
              <w:bottom w:val="single" w:color="auto" w:sz="4" w:space="0"/>
              <w:right w:val="single" w:color="auto" w:sz="4" w:space="0"/>
            </w:tcBorders>
            <w:vAlign w:val="center"/>
          </w:tcPr>
          <w:p>
            <w:pPr>
              <w:pStyle w:val="89"/>
              <w:rPr>
                <w:rFonts w:hint="default" w:ascii="Times New Roman" w:hAnsi="Times New Roman" w:cs="Times New Roman"/>
                <w:color w:val="auto"/>
                <w:sz w:val="32"/>
                <w:szCs w:val="24"/>
              </w:rPr>
            </w:pPr>
            <w:r>
              <w:rPr>
                <w:rFonts w:hint="default" w:ascii="Times New Roman" w:hAnsi="Times New Roman" w:cs="Times New Roman"/>
                <w:color w:val="auto"/>
                <w:sz w:val="32"/>
                <w:szCs w:val="24"/>
              </w:rPr>
              <w:t>工艺流程和产排污环节</w:t>
            </w:r>
          </w:p>
        </w:tc>
        <w:tc>
          <w:tcPr>
            <w:tcW w:w="8301" w:type="dxa"/>
            <w:tcBorders>
              <w:top w:val="single" w:color="auto" w:sz="4" w:space="0"/>
              <w:left w:val="single" w:color="auto" w:sz="4" w:space="0"/>
              <w:bottom w:val="single" w:color="auto" w:sz="4" w:space="0"/>
              <w:right w:val="single" w:color="auto" w:sz="4" w:space="0"/>
            </w:tcBorders>
          </w:tcPr>
          <w:p>
            <w:pPr>
              <w:pStyle w:val="92"/>
              <w:numPr>
                <w:ilvl w:val="0"/>
                <w:numId w:val="9"/>
              </w:numPr>
              <w:spacing w:before="120"/>
              <w:rPr>
                <w:rFonts w:hint="default" w:ascii="Times New Roman" w:hAnsi="Times New Roman" w:cs="Times New Roman"/>
                <w:color w:val="auto"/>
              </w:rPr>
            </w:pPr>
            <w:r>
              <w:rPr>
                <w:rFonts w:hint="default" w:ascii="Times New Roman" w:hAnsi="Times New Roman" w:cs="Times New Roman"/>
                <w:color w:val="auto"/>
              </w:rPr>
              <w:t>施工期</w:t>
            </w:r>
          </w:p>
          <w:p>
            <w:pPr>
              <w:pStyle w:val="55"/>
              <w:spacing w:before="120" w:beforeLines="50"/>
              <w:ind w:firstLine="480"/>
              <w:rPr>
                <w:sz w:val="24"/>
              </w:rPr>
            </w:pPr>
            <w:r>
              <w:rPr>
                <w:sz w:val="24"/>
              </w:rPr>
              <w:t>项目的建设主要为</w:t>
            </w:r>
            <w:r>
              <w:rPr>
                <w:rFonts w:hint="eastAsia"/>
                <w:sz w:val="24"/>
              </w:rPr>
              <w:t>厂区</w:t>
            </w:r>
            <w:r>
              <w:rPr>
                <w:sz w:val="24"/>
              </w:rPr>
              <w:t>场地清理、相关设施修建及机械设备的安装。施工过程中主要产生噪声、废水、扬尘、固体废弃物等。</w:t>
            </w:r>
            <w:r>
              <w:rPr>
                <w:rFonts w:hint="eastAsia"/>
                <w:sz w:val="24"/>
              </w:rPr>
              <w:t>施工期环境影响为短暂性影响，随着设备安装结束，以上环境影响随之结束。由于施工过程比较简单，对当地环境空气、水环境、声环境影响较小，不会降低当地环境质量现状</w:t>
            </w:r>
            <w:r>
              <w:rPr>
                <w:sz w:val="24"/>
              </w:rPr>
              <w:t>。施工期工艺流程见下图</w:t>
            </w:r>
            <w:r>
              <w:t>。</w:t>
            </w:r>
          </w:p>
          <w:p>
            <w:pPr>
              <w:jc w:val="center"/>
              <w:rPr>
                <w:rFonts w:ascii="Times New Roman" w:hAnsi="Times New Roman" w:eastAsia="宋体" w:cs="Times New Roman"/>
                <w:szCs w:val="21"/>
              </w:rPr>
            </w:pPr>
            <w:r>
              <w:object>
                <v:shape id="_x0000_i1028" o:spt="75" type="#_x0000_t75" style="height:83.25pt;width:387pt;" o:ole="t" filled="f" o:preferrelative="t" stroked="f" coordsize="21600,21600">
                  <v:path/>
                  <v:fill on="f" focussize="0,0"/>
                  <v:stroke on="f" joinstyle="miter"/>
                  <v:imagedata r:id="rId18" o:title=""/>
                  <o:lock v:ext="edit" aspectratio="t"/>
                  <w10:wrap type="none"/>
                  <w10:anchorlock/>
                </v:shape>
                <o:OLEObject Type="Embed" ProgID="Visio.Drawing.15" ShapeID="_x0000_i1028" DrawAspect="Content" ObjectID="_1468075728" r:id="rId17">
                  <o:LockedField>false</o:LockedField>
                </o:OLEObject>
              </w:object>
            </w:r>
          </w:p>
          <w:p>
            <w:pPr>
              <w:pStyle w:val="89"/>
              <w:rPr>
                <w:rFonts w:hint="default" w:ascii="Times New Roman" w:hAnsi="Times New Roman" w:cs="Times New Roman"/>
                <w:color w:val="auto"/>
              </w:rPr>
            </w:pPr>
            <w:bookmarkStart w:id="225" w:name="OLE_LINK239"/>
            <w:bookmarkStart w:id="226" w:name="OLE_LINK240"/>
            <w:r>
              <w:rPr>
                <w:rFonts w:hint="default" w:ascii="Times New Roman" w:hAnsi="Times New Roman" w:cs="Times New Roman"/>
                <w:color w:val="auto"/>
              </w:rPr>
              <w:t>图2</w:t>
            </w:r>
            <w:r>
              <w:rPr>
                <w:rFonts w:ascii="Times New Roman" w:hAnsi="Times New Roman" w:cs="Times New Roman"/>
                <w:color w:val="auto"/>
              </w:rPr>
              <w:t>-2</w:t>
            </w:r>
            <w:bookmarkEnd w:id="225"/>
            <w:bookmarkEnd w:id="226"/>
            <w:r>
              <w:rPr>
                <w:rFonts w:hint="default" w:ascii="Times New Roman" w:hAnsi="Times New Roman" w:cs="Times New Roman"/>
                <w:color w:val="auto"/>
              </w:rPr>
              <w:t xml:space="preserve"> 施工期工艺流程及排污节点图</w:t>
            </w:r>
          </w:p>
          <w:p>
            <w:pPr>
              <w:pStyle w:val="92"/>
              <w:spacing w:before="120"/>
              <w:rPr>
                <w:rFonts w:hint="default" w:ascii="Times New Roman" w:hAnsi="Times New Roman" w:cs="Times New Roman"/>
                <w:color w:val="auto"/>
              </w:rPr>
            </w:pPr>
            <w:r>
              <w:rPr>
                <w:rFonts w:hint="default" w:ascii="Times New Roman" w:hAnsi="Times New Roman" w:cs="Times New Roman"/>
                <w:color w:val="auto"/>
              </w:rPr>
              <w:t>运营期</w:t>
            </w:r>
          </w:p>
          <w:p>
            <w:pPr>
              <w:pStyle w:val="94"/>
              <w:numPr>
                <w:ilvl w:val="0"/>
                <w:numId w:val="10"/>
              </w:numPr>
              <w:rPr>
                <w:rFonts w:ascii="Times New Roman" w:hAnsi="Times New Roman" w:cs="Times New Roman"/>
                <w:color w:val="auto"/>
                <w:highlight w:val="yellow"/>
              </w:rPr>
            </w:pPr>
            <w:r>
              <w:rPr>
                <w:rFonts w:ascii="Times New Roman" w:hAnsi="Times New Roman" w:cs="Times New Roman"/>
                <w:color w:val="auto"/>
                <w:highlight w:val="yellow"/>
              </w:rPr>
              <w:t>主要工艺流程</w:t>
            </w:r>
          </w:p>
          <w:p>
            <w:pPr>
              <w:pStyle w:val="81"/>
              <w:ind w:firstLine="480"/>
            </w:pPr>
            <w:bookmarkStart w:id="227" w:name="OLE_LINK268"/>
            <w:bookmarkStart w:id="228" w:name="OLE_LINK269"/>
            <w:bookmarkStart w:id="229" w:name="OLE_LINK92"/>
            <w:bookmarkStart w:id="230" w:name="OLE_LINK234"/>
            <w:bookmarkStart w:id="231" w:name="OLE_LINK207"/>
            <w:bookmarkStart w:id="232" w:name="OLE_LINK93"/>
            <w:bookmarkStart w:id="233" w:name="OLE_LINK235"/>
            <w:r>
              <w:rPr>
                <w:rFonts w:hint="eastAsia"/>
              </w:rPr>
              <w:t>①</w:t>
            </w:r>
            <w:r>
              <w:t>上料</w:t>
            </w:r>
          </w:p>
          <w:p>
            <w:pPr>
              <w:pStyle w:val="81"/>
              <w:ind w:firstLine="480"/>
            </w:pPr>
            <w:r>
              <w:t>通过</w:t>
            </w:r>
            <w:r>
              <w:rPr>
                <w:rFonts w:hint="eastAsia"/>
              </w:rPr>
              <w:t>皮带输送机分别将粗细料按比例1:</w:t>
            </w:r>
            <w:r>
              <w:t>1</w:t>
            </w:r>
            <w:r>
              <w:rPr>
                <w:rFonts w:hint="eastAsia"/>
              </w:rPr>
              <w:t>搅拌进入</w:t>
            </w:r>
            <w:r>
              <w:t>“混料桶”。将固体渣料调配成适宜浓度的矿浆，使其具备流动性，便于泵送和后续分选。</w:t>
            </w:r>
          </w:p>
          <w:p>
            <w:pPr>
              <w:pStyle w:val="81"/>
              <w:ind w:firstLine="480"/>
            </w:pPr>
            <w:r>
              <w:rPr>
                <w:rFonts w:hint="eastAsia"/>
              </w:rPr>
              <w:t>②</w:t>
            </w:r>
            <w:r>
              <w:t>预先分级</w:t>
            </w:r>
          </w:p>
          <w:p>
            <w:pPr>
              <w:pStyle w:val="81"/>
              <w:ind w:firstLine="480"/>
            </w:pPr>
            <w:r>
              <w:t>利用离心力或筛分作用，根据颗粒的粒径和沉降速度差异进行分离。进入的矿浆被分为两股：</w:t>
            </w:r>
            <w:r>
              <w:rPr>
                <w:highlight w:val="yellow"/>
              </w:rPr>
              <w:t>粗粒物料</w:t>
            </w:r>
            <w:r>
              <w:t>依靠重力或泵送进入球磨机进行再磨，利用钢球作为研磨介质，通过冲击和研磨作用，将粗颗粒物料粉碎，使有价金属与杂质（脉石）充分“解离”。不合格粗粒返回球磨机继续研磨，形成“闭路”循环。这能提高磨矿效率，避免过磨</w:t>
            </w:r>
            <w:r>
              <w:rPr>
                <w:rFonts w:hint="eastAsia"/>
              </w:rPr>
              <w:t>。</w:t>
            </w:r>
            <w:r>
              <w:rPr>
                <w:highlight w:val="yellow"/>
              </w:rPr>
              <w:t>合格细粒物料</w:t>
            </w:r>
            <w:r>
              <w:t>进入后续的流程。</w:t>
            </w:r>
          </w:p>
          <w:p>
            <w:pPr>
              <w:pStyle w:val="81"/>
              <w:ind w:firstLine="480"/>
            </w:pPr>
            <w:r>
              <w:rPr>
                <w:rFonts w:hint="eastAsia"/>
              </w:rPr>
              <w:t>③</w:t>
            </w:r>
            <w:r>
              <w:t>磁选脱铁</w:t>
            </w:r>
          </w:p>
          <w:p>
            <w:pPr>
              <w:pStyle w:val="81"/>
              <w:ind w:firstLine="480"/>
            </w:pPr>
            <w:r>
              <w:t>利用矿物间的磁性差异。矿浆流过磁选机时，磁性较强的颗粒（主要是铁的氧化物，如磁铁矿、赤铁矿等）在磁场作用下被吸附在磁筒表面，随磁筒转动至无磁区时被刮下，刮下后，经</w:t>
            </w:r>
            <w:r>
              <w:rPr>
                <w:rFonts w:hint="eastAsia"/>
              </w:rPr>
              <w:t>压滤</w:t>
            </w:r>
            <w:r>
              <w:t>可作为产品铁精粉销售。非磁性或弱磁性颗粒随矿浆流走，成为尾矿。</w:t>
            </w:r>
          </w:p>
          <w:p>
            <w:pPr>
              <w:pStyle w:val="81"/>
              <w:ind w:firstLine="480"/>
            </w:pPr>
            <w:r>
              <w:rPr>
                <w:rFonts w:hint="eastAsia"/>
                <w:highlight w:val="yellow"/>
              </w:rPr>
              <w:t>④浮选矿化</w:t>
            </w:r>
          </w:p>
          <w:p>
            <w:pPr>
              <w:pStyle w:val="81"/>
              <w:ind w:firstLine="480"/>
            </w:pPr>
            <w:r>
              <w:rPr>
                <w:rFonts w:hint="eastAsia"/>
                <w:highlight w:val="yellow"/>
              </w:rPr>
              <w:t>尾矿通过管道给入到水力旋流器进行分级，分选出的细粒物料随水力旋流器溢流排出并通过管道给入调浆机进入浮选机，目的组分颗粒表面更为疏水，被浮选气泡捕获并随之上升成为精矿，通过浮选机中溢流槽排除，而后送去脱水成为硅产品；而亲水细泥则无法稳定粘附于气泡上，随尾流排出成为浮选尾矿，即钙镁产品的原料。</w:t>
            </w:r>
          </w:p>
          <w:p>
            <w:pPr>
              <w:pStyle w:val="81"/>
              <w:ind w:firstLine="480"/>
            </w:pPr>
            <w:r>
              <w:rPr>
                <w:rFonts w:hint="eastAsia"/>
              </w:rPr>
              <w:t>⑤</w:t>
            </w:r>
            <w:r>
              <w:t>梯级矿化富集与活化</w:t>
            </w:r>
          </w:p>
          <w:p>
            <w:pPr>
              <w:pStyle w:val="81"/>
              <w:ind w:firstLine="480"/>
            </w:pPr>
            <w:bookmarkStart w:id="234" w:name="OLE_LINK75"/>
            <w:bookmarkStart w:id="235" w:name="OLE_LINK74"/>
            <w:r>
              <w:rPr>
                <w:rFonts w:hint="eastAsia"/>
                <w:highlight w:val="yellow"/>
              </w:rPr>
              <w:t>在反应温度</w:t>
            </w:r>
            <w:r>
              <w:rPr>
                <w:highlight w:val="yellow"/>
              </w:rPr>
              <w:t>60-80℃，转速800-1200 r/min，活化时间约60min</w:t>
            </w:r>
            <w:r>
              <w:rPr>
                <w:rFonts w:hint="eastAsia"/>
                <w:highlight w:val="yellow"/>
              </w:rPr>
              <w:t>的条件下</w:t>
            </w:r>
            <w:r>
              <w:rPr>
                <w:highlight w:val="yellow"/>
              </w:rPr>
              <w:t>，促使颗粒表面钙</w:t>
            </w:r>
            <w:r>
              <w:rPr>
                <w:rFonts w:hint="eastAsia"/>
                <w:highlight w:val="yellow"/>
              </w:rPr>
              <w:t>、镁</w:t>
            </w:r>
            <w:r>
              <w:rPr>
                <w:highlight w:val="yellow"/>
              </w:rPr>
              <w:t>离子位点活化，促进其溶入液相中，而后通过装置浓缩回收，使钙、镁离子以碳酸盐或氢氧化物等形式沉淀。反应完成后的浆料通过泵送进入压滤机。</w:t>
            </w:r>
            <w:r>
              <w:rPr>
                <w:rFonts w:hint="eastAsia"/>
                <w:highlight w:val="yellow"/>
              </w:rPr>
              <w:t>此段工序产出钙镁产品。</w:t>
            </w:r>
          </w:p>
          <w:bookmarkEnd w:id="234"/>
          <w:bookmarkEnd w:id="235"/>
          <w:p>
            <w:pPr>
              <w:pStyle w:val="81"/>
              <w:ind w:firstLine="480"/>
            </w:pPr>
            <w:r>
              <w:rPr>
                <w:rFonts w:hint="eastAsia"/>
              </w:rPr>
              <w:t>⑥</w:t>
            </w:r>
            <w:r>
              <w:t>固液分离与水资源回用</w:t>
            </w:r>
          </w:p>
          <w:p>
            <w:pPr>
              <w:pStyle w:val="81"/>
              <w:ind w:firstLine="480"/>
            </w:pPr>
            <w:r>
              <w:t>利用泵提供的压力，将矿浆压入滤板之间，强制使固体颗粒被滤布截留形成滤饼，而液体（水及部分溶解物）透过滤布成为滤液。滤液收集后通过管道泵送回“混料桶”，作为生产补水，实现闭路循环，实现废水近零排放。</w:t>
            </w:r>
            <w:r>
              <w:rPr>
                <w:rFonts w:hint="eastAsia"/>
              </w:rPr>
              <w:t>此段工序产出优质黏土，即土壤修复剂。</w:t>
            </w:r>
            <w:bookmarkEnd w:id="227"/>
            <w:bookmarkEnd w:id="228"/>
          </w:p>
          <w:bookmarkEnd w:id="229"/>
          <w:bookmarkEnd w:id="230"/>
          <w:bookmarkEnd w:id="231"/>
          <w:bookmarkEnd w:id="232"/>
          <w:bookmarkEnd w:id="233"/>
          <w:p>
            <w:pPr>
              <w:pStyle w:val="100"/>
              <w:numPr>
                <w:ilvl w:val="0"/>
                <w:numId w:val="0"/>
              </w:numPr>
              <w:rPr>
                <w:rFonts w:ascii="Times New Roman" w:hAnsi="Times New Roman" w:cs="Times New Roman"/>
              </w:rPr>
            </w:pPr>
            <w:r>
              <w:rPr>
                <w:rFonts w:hint="eastAsia" w:ascii="Times New Roman" w:hAnsi="Times New Roman" w:cs="Times New Roman"/>
              </w:rPr>
              <w:drawing>
                <wp:inline distT="0" distB="0" distL="0" distR="0">
                  <wp:extent cx="5332730" cy="3006725"/>
                  <wp:effectExtent l="0" t="0" r="1270" b="3175"/>
                  <wp:docPr id="8" name="图片 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true"/>
                          </pic:cNvPicPr>
                        </pic:nvPicPr>
                        <pic:blipFill>
                          <a:blip r:embed="rId19" cstate="print">
                            <a:extLst>
                              <a:ext uri="{28A0092B-C50C-407E-A947-70E740481C1C}">
                                <a14:useLocalDpi xmlns:a14="http://schemas.microsoft.com/office/drawing/2010/main" val="false"/>
                              </a:ext>
                            </a:extLst>
                          </a:blip>
                          <a:stretch>
                            <a:fillRect/>
                          </a:stretch>
                        </pic:blipFill>
                        <pic:spPr>
                          <a:xfrm>
                            <a:off x="0" y="0"/>
                            <a:ext cx="5335751" cy="3008411"/>
                          </a:xfrm>
                          <a:prstGeom prst="rect">
                            <a:avLst/>
                          </a:prstGeom>
                        </pic:spPr>
                      </pic:pic>
                    </a:graphicData>
                  </a:graphic>
                </wp:inline>
              </w:drawing>
            </w:r>
          </w:p>
          <w:p>
            <w:pPr>
              <w:pStyle w:val="100"/>
              <w:numPr>
                <w:ilvl w:val="0"/>
                <w:numId w:val="0"/>
              </w:numPr>
              <w:jc w:val="center"/>
              <w:rPr>
                <w:rFonts w:ascii="Times New Roman" w:hAnsi="Times New Roman" w:cs="Times New Roman"/>
                <w:sz w:val="21"/>
                <w:szCs w:val="21"/>
              </w:rPr>
            </w:pPr>
            <w:r>
              <w:rPr>
                <w:rFonts w:ascii="Times New Roman" w:hAnsi="Times New Roman" w:cs="Times New Roman"/>
                <w:b/>
                <w:sz w:val="21"/>
                <w:szCs w:val="21"/>
              </w:rPr>
              <w:t>图2-3</w:t>
            </w:r>
            <w:r>
              <w:rPr>
                <w:b/>
                <w:sz w:val="21"/>
                <w:szCs w:val="21"/>
              </w:rPr>
              <w:t>工艺流程及产污环节示意图</w:t>
            </w:r>
          </w:p>
          <w:p>
            <w:pPr>
              <w:pStyle w:val="94"/>
              <w:rPr>
                <w:rFonts w:ascii="Times New Roman" w:hAnsi="Times New Roman" w:cs="Times New Roman"/>
                <w:color w:val="auto"/>
              </w:rPr>
            </w:pPr>
            <w:r>
              <w:rPr>
                <w:rFonts w:ascii="Times New Roman" w:hAnsi="Times New Roman" w:cs="Times New Roman"/>
                <w:color w:val="auto"/>
              </w:rPr>
              <w:t>主要产排污环节</w:t>
            </w:r>
          </w:p>
          <w:p>
            <w:pPr>
              <w:pStyle w:val="100"/>
              <w:numPr>
                <w:ilvl w:val="0"/>
                <w:numId w:val="11"/>
              </w:numPr>
              <w:rPr>
                <w:rFonts w:ascii="Times New Roman" w:hAnsi="Times New Roman" w:cs="Times New Roman"/>
              </w:rPr>
            </w:pPr>
            <w:r>
              <w:rPr>
                <w:rFonts w:ascii="Times New Roman" w:hAnsi="Times New Roman" w:cs="Times New Roman"/>
              </w:rPr>
              <w:t>废气</w:t>
            </w:r>
          </w:p>
          <w:p>
            <w:pPr>
              <w:pStyle w:val="82"/>
              <w:rPr>
                <w:rFonts w:hint="default"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本项目</w:t>
            </w:r>
            <w:bookmarkStart w:id="236" w:name="OLE_LINK270"/>
            <w:bookmarkStart w:id="237" w:name="OLE_LINK271"/>
            <w:r>
              <w:rPr>
                <w:rFonts w:ascii="Times New Roman" w:hAnsi="Times New Roman" w:cs="Times New Roman"/>
                <w:color w:val="000000" w:themeColor="text1"/>
                <w14:textFill>
                  <w14:solidFill>
                    <w14:schemeClr w14:val="tx1"/>
                  </w14:solidFill>
                </w14:textFill>
              </w:rPr>
              <w:t>原料及产品含水率高</w:t>
            </w:r>
            <w:bookmarkEnd w:id="236"/>
            <w:bookmarkEnd w:id="237"/>
            <w:r>
              <w:rPr>
                <w:rFonts w:ascii="Times New Roman" w:hAnsi="Times New Roman" w:cs="Times New Roman"/>
                <w:color w:val="000000" w:themeColor="text1"/>
                <w14:textFill>
                  <w14:solidFill>
                    <w14:schemeClr w14:val="tx1"/>
                  </w14:solidFill>
                </w14:textFill>
              </w:rPr>
              <w:t>，</w:t>
            </w:r>
            <w:bookmarkStart w:id="238" w:name="OLE_LINK282"/>
            <w:bookmarkStart w:id="239" w:name="OLE_LINK281"/>
            <w:r>
              <w:rPr>
                <w:rFonts w:ascii="Times New Roman" w:hAnsi="Times New Roman" w:cs="Times New Roman"/>
                <w:color w:val="000000" w:themeColor="text1"/>
                <w:highlight w:val="yellow"/>
                <w14:textFill>
                  <w14:solidFill>
                    <w14:schemeClr w14:val="tx1"/>
                  </w14:solidFill>
                </w14:textFill>
              </w:rPr>
              <w:t>废气</w:t>
            </w:r>
            <w:bookmarkEnd w:id="238"/>
            <w:bookmarkEnd w:id="239"/>
            <w:r>
              <w:rPr>
                <w:rFonts w:ascii="Times New Roman" w:hAnsi="Times New Roman" w:cs="Times New Roman"/>
                <w:color w:val="000000" w:themeColor="text1"/>
                <w:highlight w:val="yellow"/>
                <w14:textFill>
                  <w14:solidFill>
                    <w14:schemeClr w14:val="tx1"/>
                  </w14:solidFill>
                </w14:textFill>
              </w:rPr>
              <w:t>产生量较小，忽略不计</w:t>
            </w:r>
            <w:r>
              <w:rPr>
                <w:rFonts w:hint="default" w:ascii="Times New Roman" w:hAnsi="Times New Roman" w:cs="Times New Roman"/>
                <w:color w:val="000000" w:themeColor="text1"/>
                <w14:textFill>
                  <w14:solidFill>
                    <w14:schemeClr w14:val="tx1"/>
                  </w14:solidFill>
                </w14:textFill>
              </w:rPr>
              <w:t>。</w:t>
            </w:r>
          </w:p>
          <w:p>
            <w:pPr>
              <w:pStyle w:val="100"/>
              <w:rPr>
                <w:rFonts w:ascii="Times New Roman" w:hAnsi="Times New Roman" w:cs="Times New Roman"/>
              </w:rPr>
            </w:pPr>
            <w:bookmarkStart w:id="240" w:name="OLE_LINK200"/>
            <w:bookmarkStart w:id="241" w:name="OLE_LINK197"/>
            <w:r>
              <w:rPr>
                <w:rFonts w:ascii="Times New Roman" w:hAnsi="Times New Roman" w:cs="Times New Roman"/>
              </w:rPr>
              <w:t>废水</w:t>
            </w:r>
          </w:p>
          <w:p>
            <w:pPr>
              <w:pStyle w:val="82"/>
              <w:rPr>
                <w:rFonts w:hint="default" w:ascii="Times New Roman" w:hAnsi="Times New Roman" w:cs="Times New Roman"/>
              </w:rPr>
            </w:pPr>
            <w:r>
              <w:rPr>
                <w:rFonts w:ascii="Times New Roman" w:hAnsi="Times New Roman" w:cs="Times New Roman"/>
              </w:rPr>
              <w:t>本项目废水</w:t>
            </w:r>
            <w:r>
              <w:rPr>
                <w:rFonts w:hint="default" w:ascii="Times New Roman" w:hAnsi="Times New Roman" w:cs="Times New Roman"/>
              </w:rPr>
              <w:t>循环使用不外排</w:t>
            </w:r>
            <w:r>
              <w:rPr>
                <w:rFonts w:ascii="Times New Roman" w:hAnsi="Times New Roman" w:cs="Times New Roman"/>
              </w:rPr>
              <w:t>。根据相关企业经验可知，循环水量约为1</w:t>
            </w:r>
            <w:r>
              <w:rPr>
                <w:rFonts w:hint="default" w:ascii="Times New Roman" w:hAnsi="Times New Roman" w:cs="Times New Roman"/>
              </w:rPr>
              <w:t>01.31</w:t>
            </w:r>
            <w:r>
              <w:rPr>
                <w:rFonts w:ascii="Times New Roman" w:hAnsi="Times New Roman" w:cs="Times New Roman"/>
              </w:rPr>
              <w:t>t</w:t>
            </w:r>
            <w:r>
              <w:rPr>
                <w:rFonts w:hint="default" w:ascii="Times New Roman" w:hAnsi="Times New Roman" w:cs="Times New Roman"/>
              </w:rPr>
              <w:t>/d</w:t>
            </w:r>
            <w:r>
              <w:rPr>
                <w:rFonts w:ascii="Times New Roman" w:hAnsi="Times New Roman" w:cs="Times New Roman"/>
              </w:rPr>
              <w:t>，经</w:t>
            </w:r>
            <w:bookmarkStart w:id="242" w:name="OLE_LINK195"/>
            <w:bookmarkStart w:id="243" w:name="OLE_LINK196"/>
            <w:r>
              <w:rPr>
                <w:rFonts w:ascii="Times New Roman" w:hAnsi="Times New Roman" w:cs="Times New Roman"/>
              </w:rPr>
              <w:t>废水循环池</w:t>
            </w:r>
            <w:bookmarkEnd w:id="242"/>
            <w:bookmarkEnd w:id="243"/>
            <w:r>
              <w:rPr>
                <w:rFonts w:ascii="Times New Roman" w:hAnsi="Times New Roman" w:cs="Times New Roman"/>
              </w:rPr>
              <w:t>沉淀后用泵打入混料桶循环使用</w:t>
            </w:r>
            <w:r>
              <w:rPr>
                <w:rFonts w:hint="default" w:ascii="Times New Roman" w:hAnsi="Times New Roman" w:cs="Times New Roman"/>
              </w:rPr>
              <w:t>。</w:t>
            </w:r>
            <w:bookmarkEnd w:id="240"/>
            <w:bookmarkEnd w:id="241"/>
            <w:r>
              <w:rPr>
                <w:rFonts w:hint="default" w:ascii="Times New Roman" w:hAnsi="Times New Roman" w:cs="Times New Roman"/>
              </w:rPr>
              <w:t xml:space="preserve"> </w:t>
            </w:r>
          </w:p>
          <w:p>
            <w:pPr>
              <w:pStyle w:val="100"/>
              <w:rPr>
                <w:rFonts w:ascii="Times New Roman" w:hAnsi="Times New Roman" w:cs="Times New Roman"/>
              </w:rPr>
            </w:pPr>
            <w:r>
              <w:rPr>
                <w:rFonts w:ascii="Times New Roman" w:hAnsi="Times New Roman" w:cs="Times New Roman"/>
              </w:rPr>
              <w:t>噪声</w:t>
            </w:r>
          </w:p>
          <w:p>
            <w:pPr>
              <w:pStyle w:val="82"/>
              <w:rPr>
                <w:rFonts w:hint="default" w:ascii="Times New Roman" w:hAnsi="Times New Roman" w:cs="Times New Roman"/>
              </w:rPr>
            </w:pPr>
            <w:r>
              <w:rPr>
                <w:rFonts w:hint="default" w:ascii="Times New Roman" w:hAnsi="Times New Roman" w:cs="Times New Roman"/>
              </w:rPr>
              <w:t>主要噪声源为</w:t>
            </w:r>
            <w:r>
              <w:rPr>
                <w:rFonts w:ascii="Times New Roman" w:hAnsi="Times New Roman" w:cs="Times New Roman"/>
              </w:rPr>
              <w:t>混料桶、球磨机、分级设备、磁选机、浮选机、搅拌装置、金属产品分级装置、压滤机</w:t>
            </w:r>
            <w:r>
              <w:rPr>
                <w:rFonts w:hint="default" w:ascii="Times New Roman" w:hAnsi="Times New Roman" w:cs="Times New Roman"/>
              </w:rPr>
              <w:t>等的噪声，源强一般在65～90dB(A)左右。</w:t>
            </w:r>
          </w:p>
          <w:p>
            <w:pPr>
              <w:pStyle w:val="100"/>
              <w:rPr>
                <w:rFonts w:ascii="Times New Roman" w:hAnsi="Times New Roman" w:cs="Times New Roman"/>
              </w:rPr>
            </w:pPr>
            <w:r>
              <w:rPr>
                <w:rFonts w:ascii="Times New Roman" w:hAnsi="Times New Roman" w:cs="Times New Roman"/>
              </w:rPr>
              <w:t>固体废物</w:t>
            </w:r>
          </w:p>
          <w:p>
            <w:pPr>
              <w:pStyle w:val="82"/>
              <w:rPr>
                <w:rFonts w:hint="default" w:ascii="Times New Roman" w:hAnsi="Times New Roman" w:cs="Times New Roman"/>
              </w:rPr>
            </w:pPr>
            <w:r>
              <w:rPr>
                <w:rFonts w:ascii="Times New Roman" w:hAnsi="Times New Roman" w:cs="Times New Roman"/>
              </w:rPr>
              <w:t>本项目产生的固废为</w:t>
            </w:r>
            <w:r>
              <w:rPr>
                <w:rFonts w:hint="default" w:ascii="Times New Roman" w:hAnsi="Times New Roman" w:cs="Times New Roman"/>
              </w:rPr>
              <w:t>设备维护过程中产生的废机油与</w:t>
            </w:r>
            <w:r>
              <w:rPr>
                <w:rFonts w:ascii="Times New Roman" w:hAnsi="Times New Roman" w:cs="Times New Roman"/>
              </w:rPr>
              <w:t>废</w:t>
            </w:r>
            <w:r>
              <w:rPr>
                <w:rFonts w:hint="default" w:ascii="Times New Roman" w:hAnsi="Times New Roman" w:cs="Times New Roman"/>
              </w:rPr>
              <w:t>油桶</w:t>
            </w:r>
            <w:r>
              <w:rPr>
                <w:rFonts w:ascii="Times New Roman" w:hAnsi="Times New Roman" w:cs="Times New Roman"/>
              </w:rPr>
              <w:t>，</w:t>
            </w:r>
            <w:r>
              <w:rPr>
                <w:rFonts w:hint="default" w:ascii="Times New Roman" w:hAnsi="Times New Roman" w:cs="Times New Roman"/>
              </w:rPr>
              <w:t>暂存在危废库，定期委托有资质单位处理</w:t>
            </w:r>
            <w:r>
              <w:rPr>
                <w:rFonts w:ascii="Times New Roman" w:hAnsi="Times New Roman" w:cs="Times New Roman"/>
              </w:rPr>
              <w:t>；废水循环池底泥定期清理，回用于生产</w:t>
            </w:r>
            <w:r>
              <w:rPr>
                <w:rFonts w:hint="default" w:ascii="Times New Roman" w:hAnsi="Times New Roman" w:cs="Times New Roma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19" w:hRule="atLeast"/>
        </w:trPr>
        <w:tc>
          <w:tcPr>
            <w:tcW w:w="901" w:type="dxa"/>
            <w:tcBorders>
              <w:top w:val="single" w:color="auto" w:sz="4" w:space="0"/>
              <w:left w:val="single" w:color="auto" w:sz="4" w:space="0"/>
              <w:bottom w:val="single" w:color="auto" w:sz="4" w:space="0"/>
              <w:right w:val="single" w:color="auto" w:sz="4" w:space="0"/>
            </w:tcBorders>
            <w:vAlign w:val="center"/>
          </w:tcPr>
          <w:p>
            <w:pPr>
              <w:pStyle w:val="89"/>
              <w:rPr>
                <w:rFonts w:hint="default" w:ascii="Times New Roman" w:hAnsi="Times New Roman" w:cs="Times New Roman"/>
                <w:color w:val="auto"/>
                <w:sz w:val="32"/>
                <w:szCs w:val="24"/>
              </w:rPr>
            </w:pPr>
            <w:r>
              <w:rPr>
                <w:rFonts w:hint="default" w:ascii="Times New Roman" w:hAnsi="Times New Roman" w:cs="Times New Roman"/>
                <w:color w:val="auto"/>
                <w:sz w:val="32"/>
                <w:szCs w:val="24"/>
              </w:rPr>
              <w:t>与项目有关的原有环境污染问题</w:t>
            </w:r>
          </w:p>
        </w:tc>
        <w:tc>
          <w:tcPr>
            <w:tcW w:w="8301" w:type="dxa"/>
            <w:tcBorders>
              <w:top w:val="single" w:color="auto" w:sz="4" w:space="0"/>
              <w:left w:val="single" w:color="auto" w:sz="4" w:space="0"/>
              <w:bottom w:val="single" w:color="auto" w:sz="4" w:space="0"/>
              <w:right w:val="single" w:color="auto" w:sz="4" w:space="0"/>
            </w:tcBorders>
            <w:vAlign w:val="center"/>
          </w:tcPr>
          <w:p>
            <w:pPr>
              <w:pStyle w:val="115"/>
              <w:spacing w:line="360" w:lineRule="auto"/>
              <w:ind w:firstLine="480" w:firstLineChars="200"/>
              <w:rPr>
                <w:rFonts w:ascii="Times New Roman" w:hAnsi="Times New Roman" w:cs="Times New Roman"/>
                <w:bCs/>
                <w:sz w:val="24"/>
                <w:szCs w:val="24"/>
              </w:rPr>
            </w:pPr>
            <w:r>
              <w:rPr>
                <w:rFonts w:hint="eastAsia" w:ascii="Times New Roman" w:hAnsi="Times New Roman" w:cs="Times New Roman"/>
                <w:bCs/>
                <w:sz w:val="24"/>
                <w:szCs w:val="24"/>
              </w:rPr>
              <w:t>1、现有项目环保手续履行情况</w:t>
            </w:r>
          </w:p>
          <w:p>
            <w:pPr>
              <w:pStyle w:val="115"/>
              <w:spacing w:line="360" w:lineRule="auto"/>
              <w:ind w:firstLine="480" w:firstLineChars="200"/>
              <w:rPr>
                <w:sz w:val="24"/>
              </w:rPr>
            </w:pPr>
            <w:r>
              <w:rPr>
                <w:rFonts w:ascii="Times New Roman" w:hAnsi="Times New Roman" w:cs="Times New Roman"/>
                <w:bCs/>
                <w:sz w:val="24"/>
                <w:szCs w:val="24"/>
                <w:highlight w:val="yellow"/>
              </w:rPr>
              <w:t>20</w:t>
            </w:r>
            <w:r>
              <w:rPr>
                <w:rFonts w:hint="eastAsia" w:ascii="Times New Roman" w:hAnsi="Times New Roman" w:cs="Times New Roman"/>
                <w:bCs/>
                <w:sz w:val="24"/>
                <w:szCs w:val="24"/>
                <w:highlight w:val="yellow"/>
              </w:rPr>
              <w:t>23</w:t>
            </w:r>
            <w:r>
              <w:rPr>
                <w:rFonts w:ascii="Times New Roman" w:hAnsi="Times New Roman" w:cs="Times New Roman"/>
                <w:bCs/>
                <w:sz w:val="24"/>
                <w:szCs w:val="24"/>
                <w:highlight w:val="yellow"/>
              </w:rPr>
              <w:t>年</w:t>
            </w:r>
            <w:r>
              <w:rPr>
                <w:rFonts w:hint="eastAsia" w:ascii="Times New Roman" w:hAnsi="Times New Roman" w:cs="Times New Roman"/>
                <w:bCs/>
                <w:sz w:val="24"/>
                <w:szCs w:val="24"/>
                <w:highlight w:val="yellow"/>
              </w:rPr>
              <w:t>8</w:t>
            </w:r>
            <w:r>
              <w:rPr>
                <w:rFonts w:ascii="Times New Roman" w:hAnsi="Times New Roman" w:cs="Times New Roman"/>
                <w:bCs/>
                <w:sz w:val="24"/>
                <w:szCs w:val="24"/>
                <w:highlight w:val="yellow"/>
              </w:rPr>
              <w:t>月</w:t>
            </w:r>
            <w:r>
              <w:rPr>
                <w:rFonts w:hint="eastAsia" w:ascii="Times New Roman" w:hAnsi="Times New Roman" w:cs="Times New Roman"/>
                <w:bCs/>
                <w:sz w:val="24"/>
                <w:szCs w:val="24"/>
                <w:highlight w:val="yellow"/>
              </w:rPr>
              <w:t>14日，企业取得了《内蒙古晟能能源有限责任公司年处理60万吨工业固废综合利用项目环境影响报告表》的批复。</w:t>
            </w:r>
            <w:r>
              <w:rPr>
                <w:rFonts w:hint="eastAsia" w:ascii="Times New Roman" w:hAnsi="Times New Roman" w:cs="Times New Roman"/>
                <w:color w:val="000000"/>
                <w:sz w:val="24"/>
                <w:szCs w:val="24"/>
              </w:rPr>
              <w:t>2024年11月15日取得鄂尔多斯市生态环境局达拉特旗分局出具的突发环境事件应急预案备案表，备案编号150621-2024-081-L。</w:t>
            </w:r>
            <w:r>
              <w:rPr>
                <w:rFonts w:hint="eastAsia" w:ascii="Times New Roman" w:hAnsi="Times New Roman" w:cs="Times New Roman"/>
                <w:bCs/>
                <w:sz w:val="24"/>
                <w:szCs w:val="24"/>
              </w:rPr>
              <w:t>2024年12月19日取得固定污染源排污许可登记，登记编号91150621MA13QJFP5L0001X，2024年12月30日进行</w:t>
            </w:r>
            <w:bookmarkStart w:id="244" w:name="OLE_LINK51"/>
            <w:bookmarkStart w:id="245" w:name="OLE_LINK5"/>
            <w:r>
              <w:rPr>
                <w:rFonts w:ascii="Times New Roman" w:hAnsi="Times New Roman" w:cs="Times New Roman"/>
                <w:color w:val="000000"/>
                <w:sz w:val="24"/>
                <w:szCs w:val="24"/>
              </w:rPr>
              <w:t>内蒙古晟能能源有限责任公司年处理60万吨工业固废综合利用项目</w:t>
            </w:r>
            <w:bookmarkEnd w:id="244"/>
            <w:bookmarkEnd w:id="245"/>
            <w:r>
              <w:rPr>
                <w:rFonts w:hint="eastAsia" w:ascii="Times New Roman" w:hAnsi="Times New Roman" w:cs="Times New Roman"/>
                <w:bCs/>
                <w:sz w:val="24"/>
                <w:szCs w:val="24"/>
              </w:rPr>
              <w:t>竣工环境保护验收监测，并出具</w:t>
            </w:r>
            <w:bookmarkStart w:id="246" w:name="OLE_LINK249"/>
            <w:bookmarkStart w:id="247" w:name="OLE_LINK248"/>
            <w:r>
              <w:rPr>
                <w:rFonts w:hint="eastAsia" w:ascii="Times New Roman" w:hAnsi="Times New Roman" w:cs="Times New Roman"/>
                <w:bCs/>
                <w:sz w:val="24"/>
                <w:szCs w:val="24"/>
              </w:rPr>
              <w:t>自主验收</w:t>
            </w:r>
            <w:bookmarkEnd w:id="246"/>
            <w:bookmarkEnd w:id="247"/>
            <w:r>
              <w:rPr>
                <w:rFonts w:hint="eastAsia" w:ascii="Times New Roman" w:hAnsi="Times New Roman" w:cs="Times New Roman"/>
                <w:bCs/>
                <w:sz w:val="24"/>
                <w:szCs w:val="24"/>
              </w:rPr>
              <w:t>意见，目前正常运行。</w:t>
            </w:r>
            <w:r>
              <w:rPr>
                <w:rFonts w:ascii="Times New Roman" w:hAnsi="Times New Roman" w:cs="Times New Roman"/>
                <w:bCs/>
                <w:sz w:val="24"/>
                <w:szCs w:val="24"/>
              </w:rPr>
              <w:t>20</w:t>
            </w:r>
            <w:r>
              <w:rPr>
                <w:rFonts w:hint="eastAsia" w:ascii="Times New Roman" w:hAnsi="Times New Roman" w:cs="Times New Roman"/>
                <w:bCs/>
                <w:sz w:val="24"/>
                <w:szCs w:val="24"/>
              </w:rPr>
              <w:t>25</w:t>
            </w:r>
            <w:r>
              <w:rPr>
                <w:rFonts w:ascii="Times New Roman" w:hAnsi="Times New Roman" w:cs="Times New Roman"/>
                <w:bCs/>
                <w:sz w:val="24"/>
                <w:szCs w:val="24"/>
              </w:rPr>
              <w:t>年</w:t>
            </w:r>
            <w:r>
              <w:rPr>
                <w:rFonts w:hint="eastAsia" w:ascii="Times New Roman" w:hAnsi="Times New Roman" w:cs="Times New Roman"/>
                <w:bCs/>
                <w:sz w:val="24"/>
                <w:szCs w:val="24"/>
              </w:rPr>
              <w:t>7</w:t>
            </w:r>
            <w:r>
              <w:rPr>
                <w:rFonts w:ascii="Times New Roman" w:hAnsi="Times New Roman" w:cs="Times New Roman"/>
                <w:bCs/>
                <w:sz w:val="24"/>
                <w:szCs w:val="24"/>
              </w:rPr>
              <w:t>月</w:t>
            </w:r>
            <w:r>
              <w:rPr>
                <w:rFonts w:hint="eastAsia" w:ascii="Times New Roman" w:hAnsi="Times New Roman" w:cs="Times New Roman"/>
                <w:bCs/>
                <w:sz w:val="24"/>
                <w:szCs w:val="24"/>
              </w:rPr>
              <w:t>1日企业取得了</w:t>
            </w:r>
            <w:r>
              <w:rPr>
                <w:rFonts w:hint="eastAsia" w:ascii="Times New Roman" w:hAnsi="Times New Roman" w:cs="Times New Roman"/>
                <w:bCs/>
                <w:color w:val="000000"/>
                <w:sz w:val="24"/>
                <w:szCs w:val="24"/>
              </w:rPr>
              <w:t>《关于</w:t>
            </w:r>
            <w:bookmarkStart w:id="248" w:name="OLE_LINK13"/>
            <w:bookmarkStart w:id="249" w:name="OLE_LINK14"/>
            <w:r>
              <w:rPr>
                <w:rFonts w:hint="eastAsia"/>
                <w:sz w:val="24"/>
              </w:rPr>
              <w:t>内蒙古晟能能源有限责任公司工业固废综合利用技术改造项目</w:t>
            </w:r>
            <w:bookmarkEnd w:id="248"/>
            <w:bookmarkEnd w:id="249"/>
            <w:r>
              <w:rPr>
                <w:rFonts w:hint="eastAsia" w:ascii="Times New Roman" w:hAnsi="Times New Roman" w:cs="Times New Roman"/>
                <w:color w:val="000000"/>
                <w:sz w:val="24"/>
                <w:szCs w:val="24"/>
              </w:rPr>
              <w:t>环境影响报告表</w:t>
            </w:r>
            <w:r>
              <w:rPr>
                <w:rFonts w:hint="eastAsia" w:ascii="Times New Roman" w:hAnsi="Times New Roman" w:cs="Times New Roman"/>
                <w:bCs/>
                <w:color w:val="000000"/>
                <w:sz w:val="24"/>
                <w:szCs w:val="24"/>
              </w:rPr>
              <w:t>》的</w:t>
            </w:r>
            <w:r>
              <w:rPr>
                <w:rFonts w:hint="eastAsia" w:ascii="Times New Roman" w:hAnsi="Times New Roman" w:cs="Times New Roman"/>
                <w:bCs/>
                <w:sz w:val="24"/>
                <w:szCs w:val="24"/>
              </w:rPr>
              <w:t>批复，</w:t>
            </w:r>
            <w:r>
              <w:rPr>
                <w:rFonts w:hint="eastAsia"/>
                <w:sz w:val="24"/>
              </w:rPr>
              <w:t>该项目尚未建成，未进行</w:t>
            </w:r>
            <w:r>
              <w:rPr>
                <w:rFonts w:hint="eastAsia" w:ascii="Times New Roman" w:hAnsi="Times New Roman" w:cs="Times New Roman"/>
                <w:bCs/>
                <w:sz w:val="24"/>
                <w:szCs w:val="24"/>
              </w:rPr>
              <w:t>自主验收。</w:t>
            </w:r>
          </w:p>
          <w:p>
            <w:pPr>
              <w:pStyle w:val="115"/>
              <w:spacing w:line="360" w:lineRule="auto"/>
              <w:ind w:firstLine="480" w:firstLineChars="200"/>
              <w:rPr>
                <w:rFonts w:ascii="Times New Roman" w:hAnsi="Times New Roman" w:cs="Times New Roman"/>
                <w:bCs/>
                <w:sz w:val="24"/>
                <w:szCs w:val="24"/>
              </w:rPr>
            </w:pPr>
            <w:r>
              <w:rPr>
                <w:rFonts w:hint="eastAsia" w:ascii="Times New Roman" w:hAnsi="Times New Roman" w:cs="Times New Roman"/>
                <w:bCs/>
                <w:sz w:val="24"/>
                <w:szCs w:val="24"/>
              </w:rPr>
              <w:t>2、现有工程污染物排放情况</w:t>
            </w:r>
          </w:p>
          <w:p>
            <w:pPr>
              <w:pStyle w:val="115"/>
              <w:spacing w:line="360" w:lineRule="auto"/>
              <w:ind w:firstLine="480" w:firstLineChars="200"/>
              <w:rPr>
                <w:rFonts w:ascii="Times New Roman" w:hAnsi="Times New Roman" w:cs="Times New Roman"/>
                <w:bCs/>
                <w:sz w:val="24"/>
                <w:szCs w:val="24"/>
              </w:rPr>
            </w:pPr>
            <w:r>
              <w:rPr>
                <w:rFonts w:hint="eastAsia" w:ascii="Times New Roman" w:hAnsi="Times New Roman" w:cs="Times New Roman"/>
                <w:bCs/>
                <w:sz w:val="24"/>
                <w:szCs w:val="24"/>
              </w:rPr>
              <w:t>本次主要根据现有工程环境影响报告以及竣工环境保护验收监测报告对厂区进行污染物排放量核算。</w:t>
            </w:r>
          </w:p>
          <w:p>
            <w:pPr>
              <w:pStyle w:val="115"/>
              <w:spacing w:line="360" w:lineRule="auto"/>
              <w:ind w:firstLine="480" w:firstLineChars="200"/>
              <w:rPr>
                <w:rFonts w:ascii="Times New Roman" w:hAnsi="Times New Roman" w:cs="Times New Roman"/>
                <w:bCs/>
                <w:sz w:val="24"/>
                <w:szCs w:val="24"/>
              </w:rPr>
            </w:pPr>
            <w:r>
              <w:rPr>
                <w:rFonts w:hint="eastAsia" w:ascii="Times New Roman" w:hAnsi="Times New Roman" w:cs="Times New Roman"/>
                <w:bCs/>
                <w:sz w:val="24"/>
                <w:szCs w:val="24"/>
              </w:rPr>
              <w:t>（1）废气</w:t>
            </w:r>
          </w:p>
          <w:p>
            <w:pPr>
              <w:pStyle w:val="115"/>
              <w:spacing w:line="360" w:lineRule="auto"/>
              <w:ind w:firstLine="480" w:firstLineChars="200"/>
              <w:rPr>
                <w:rFonts w:ascii="Times New Roman" w:hAnsi="Times New Roman" w:cs="Times New Roman"/>
                <w:bCs/>
                <w:sz w:val="24"/>
                <w:szCs w:val="24"/>
              </w:rPr>
            </w:pPr>
            <w:bookmarkStart w:id="250" w:name="OLE_LINK8"/>
            <w:bookmarkStart w:id="251" w:name="OLE_LINK7"/>
            <w:r>
              <w:rPr>
                <w:rFonts w:hint="eastAsia" w:ascii="Times New Roman" w:hAnsi="Times New Roman" w:cs="Times New Roman"/>
                <w:bCs/>
                <w:sz w:val="24"/>
                <w:szCs w:val="24"/>
              </w:rPr>
              <w:t>根据</w:t>
            </w:r>
            <w:bookmarkStart w:id="252" w:name="OLE_LINK6"/>
            <w:r>
              <w:rPr>
                <w:rFonts w:hint="eastAsia" w:ascii="Times New Roman" w:hAnsi="Times New Roman" w:cs="Times New Roman"/>
                <w:bCs/>
                <w:sz w:val="24"/>
                <w:szCs w:val="24"/>
              </w:rPr>
              <w:t>《</w:t>
            </w:r>
            <w:r>
              <w:rPr>
                <w:rFonts w:hint="eastAsia" w:ascii="Times New Roman" w:hAnsi="Times New Roman" w:cs="Times New Roman"/>
                <w:color w:val="000000"/>
                <w:sz w:val="24"/>
                <w:szCs w:val="24"/>
              </w:rPr>
              <w:t>内蒙古晟能能源有限责任公司年处理</w:t>
            </w:r>
            <w:r>
              <w:rPr>
                <w:rFonts w:ascii="Times New Roman" w:hAnsi="Times New Roman" w:cs="Times New Roman"/>
                <w:color w:val="000000"/>
                <w:sz w:val="24"/>
                <w:szCs w:val="24"/>
              </w:rPr>
              <w:t>60</w:t>
            </w:r>
            <w:r>
              <w:rPr>
                <w:rFonts w:hint="eastAsia" w:ascii="Times New Roman" w:hAnsi="Times New Roman" w:cs="Times New Roman"/>
                <w:color w:val="000000"/>
                <w:sz w:val="24"/>
                <w:szCs w:val="24"/>
              </w:rPr>
              <w:t>万吨工业固废综合利用</w:t>
            </w:r>
            <w:r>
              <w:rPr>
                <w:rFonts w:hint="eastAsia" w:ascii="Times New Roman" w:hAnsi="Times New Roman" w:cs="Times New Roman"/>
                <w:bCs/>
                <w:sz w:val="24"/>
                <w:szCs w:val="24"/>
              </w:rPr>
              <w:t>项目</w:t>
            </w:r>
            <w:bookmarkEnd w:id="252"/>
            <w:r>
              <w:rPr>
                <w:rFonts w:hint="eastAsia" w:ascii="Times New Roman" w:hAnsi="Times New Roman" w:cs="Times New Roman"/>
                <w:bCs/>
                <w:sz w:val="24"/>
                <w:szCs w:val="24"/>
              </w:rPr>
              <w:t>环境影响报告表</w:t>
            </w:r>
            <w:bookmarkEnd w:id="250"/>
            <w:bookmarkEnd w:id="251"/>
            <w:r>
              <w:rPr>
                <w:rFonts w:hint="eastAsia" w:ascii="Times New Roman" w:hAnsi="Times New Roman" w:cs="Times New Roman"/>
                <w:bCs/>
                <w:sz w:val="24"/>
                <w:szCs w:val="24"/>
              </w:rPr>
              <w:t>》，</w:t>
            </w:r>
            <w:r>
              <w:rPr>
                <w:rFonts w:ascii="Times New Roman" w:hAnsi="Times New Roman" w:cs="Times New Roman"/>
                <w:bCs/>
                <w:sz w:val="24"/>
                <w:szCs w:val="24"/>
              </w:rPr>
              <w:t>所使用原料含水量较多，平均含水量约为45%左右，且原料存储在全封闭原料库内，因此产尘量很小。</w:t>
            </w:r>
          </w:p>
          <w:p>
            <w:pPr>
              <w:pStyle w:val="115"/>
              <w:spacing w:line="360" w:lineRule="auto"/>
              <w:ind w:firstLine="480" w:firstLineChars="200"/>
              <w:rPr>
                <w:rFonts w:ascii="Times New Roman" w:hAnsi="Times New Roman" w:cs="Times New Roman"/>
                <w:bCs/>
                <w:sz w:val="24"/>
                <w:szCs w:val="24"/>
              </w:rPr>
            </w:pPr>
            <w:r>
              <w:rPr>
                <w:rFonts w:ascii="Times New Roman" w:hAnsi="Times New Roman" w:cs="Times New Roman"/>
                <w:bCs/>
                <w:sz w:val="24"/>
                <w:szCs w:val="24"/>
              </w:rPr>
              <w:t>气化渣存在一定程度异味，异味主要是少量氨气。氨气产生量按照原料的0.1‰计，</w:t>
            </w:r>
            <w:r>
              <w:rPr>
                <w:rFonts w:hint="eastAsia" w:ascii="Times New Roman" w:hAnsi="Times New Roman" w:cs="Times New Roman"/>
                <w:bCs/>
                <w:sz w:val="24"/>
                <w:szCs w:val="24"/>
              </w:rPr>
              <w:t>现有工程</w:t>
            </w:r>
            <w:r>
              <w:rPr>
                <w:rFonts w:ascii="Times New Roman" w:hAnsi="Times New Roman" w:cs="Times New Roman"/>
                <w:bCs/>
                <w:sz w:val="24"/>
                <w:szCs w:val="24"/>
              </w:rPr>
              <w:t>煤化灰渣的年处理量为60万吨，则企业氨气年产生量以年处理量计，年产生量约为6.0t/a。项目入厂气化渣为湿物料，物料进入生产车间前还需要加水稀释打浆，因此气化渣氨气挥发量较小而且主要集中在原料库内。进入生产车间后，大部分物料呈浆状，并且物料输送均为密闭管道输送，因此生产车间基本无异味。成品经多级分选后，也基本无异味。</w:t>
            </w:r>
          </w:p>
          <w:p>
            <w:pPr>
              <w:pStyle w:val="115"/>
              <w:spacing w:line="360" w:lineRule="auto"/>
              <w:ind w:firstLine="480" w:firstLineChars="200"/>
              <w:rPr>
                <w:rFonts w:ascii="Times New Roman" w:hAnsi="Times New Roman" w:cs="Times New Roman"/>
                <w:bCs/>
                <w:sz w:val="24"/>
                <w:szCs w:val="24"/>
              </w:rPr>
            </w:pPr>
            <w:r>
              <w:rPr>
                <w:rFonts w:hint="eastAsia" w:ascii="Times New Roman" w:hAnsi="Times New Roman" w:cs="Times New Roman"/>
                <w:bCs/>
                <w:sz w:val="24"/>
                <w:szCs w:val="24"/>
              </w:rPr>
              <w:t>根据</w:t>
            </w:r>
            <w:r>
              <w:rPr>
                <w:rFonts w:hint="eastAsia" w:ascii="Times New Roman" w:hAnsi="Times New Roman" w:cs="Times New Roman"/>
                <w:color w:val="000000"/>
                <w:sz w:val="24"/>
                <w:szCs w:val="24"/>
              </w:rPr>
              <w:t>内蒙古晟能能源有限责任公司年处理</w:t>
            </w:r>
            <w:r>
              <w:rPr>
                <w:rFonts w:ascii="Times New Roman" w:hAnsi="Times New Roman" w:cs="Times New Roman"/>
                <w:color w:val="000000"/>
                <w:sz w:val="24"/>
                <w:szCs w:val="24"/>
              </w:rPr>
              <w:t>60</w:t>
            </w:r>
            <w:r>
              <w:rPr>
                <w:rFonts w:hint="eastAsia" w:ascii="Times New Roman" w:hAnsi="Times New Roman" w:cs="Times New Roman"/>
                <w:color w:val="000000"/>
                <w:sz w:val="24"/>
                <w:szCs w:val="24"/>
              </w:rPr>
              <w:t>万吨工业固废综合利用</w:t>
            </w:r>
            <w:r>
              <w:rPr>
                <w:rFonts w:hint="eastAsia" w:ascii="Times New Roman" w:hAnsi="Times New Roman" w:cs="Times New Roman"/>
                <w:bCs/>
                <w:sz w:val="24"/>
                <w:szCs w:val="24"/>
              </w:rPr>
              <w:t>项目竣工环境保护验收监测报告表，</w:t>
            </w:r>
            <w:r>
              <w:rPr>
                <w:rFonts w:ascii="Times New Roman" w:hAnsi="Times New Roman" w:cs="Times New Roman"/>
                <w:bCs/>
                <w:sz w:val="24"/>
                <w:szCs w:val="24"/>
              </w:rPr>
              <w:t>气化渣原料在原料库装卸及堆存期间，定期洒水增加湿度，氨气</w:t>
            </w:r>
            <w:r>
              <w:rPr>
                <w:rFonts w:hint="eastAsia" w:ascii="Times New Roman" w:hAnsi="Times New Roman" w:cs="Times New Roman"/>
                <w:bCs/>
                <w:sz w:val="24"/>
                <w:szCs w:val="24"/>
              </w:rPr>
              <w:t>厂界无组织监测结果最大为0.03mg/m</w:t>
            </w:r>
            <w:r>
              <w:rPr>
                <w:rFonts w:hint="eastAsia" w:ascii="Times New Roman" w:hAnsi="Times New Roman" w:cs="Times New Roman"/>
                <w:bCs/>
                <w:sz w:val="24"/>
                <w:szCs w:val="24"/>
                <w:vertAlign w:val="superscript"/>
              </w:rPr>
              <w:t>3</w:t>
            </w:r>
            <w:r>
              <w:rPr>
                <w:rFonts w:hint="eastAsia" w:ascii="Times New Roman" w:hAnsi="Times New Roman" w:cs="Times New Roman"/>
                <w:bCs/>
                <w:sz w:val="24"/>
                <w:szCs w:val="24"/>
              </w:rPr>
              <w:t>，</w:t>
            </w:r>
            <w:r>
              <w:rPr>
                <w:rFonts w:ascii="Times New Roman" w:hAnsi="Times New Roman" w:cs="Times New Roman"/>
                <w:bCs/>
                <w:sz w:val="24"/>
                <w:szCs w:val="24"/>
              </w:rPr>
              <w:t>排放满足《恶臭污染物排放标准》（GB14554-1993）厂界排放标准</w:t>
            </w:r>
            <w:r>
              <w:rPr>
                <w:rFonts w:hint="eastAsia" w:ascii="Times New Roman" w:hAnsi="Times New Roman" w:cs="Times New Roman"/>
                <w:bCs/>
                <w:sz w:val="24"/>
                <w:szCs w:val="24"/>
              </w:rPr>
              <w:t>1.5mg/m</w:t>
            </w:r>
            <w:r>
              <w:rPr>
                <w:rFonts w:hint="eastAsia" w:ascii="Times New Roman" w:hAnsi="Times New Roman" w:cs="Times New Roman"/>
                <w:bCs/>
                <w:sz w:val="24"/>
                <w:szCs w:val="24"/>
                <w:vertAlign w:val="superscript"/>
              </w:rPr>
              <w:t>3</w:t>
            </w:r>
            <w:r>
              <w:rPr>
                <w:rFonts w:ascii="Times New Roman" w:hAnsi="Times New Roman" w:cs="Times New Roman"/>
                <w:bCs/>
                <w:sz w:val="24"/>
                <w:szCs w:val="24"/>
              </w:rPr>
              <w:t>要求。</w:t>
            </w:r>
          </w:p>
          <w:p>
            <w:pPr>
              <w:pStyle w:val="115"/>
              <w:spacing w:line="360" w:lineRule="auto"/>
              <w:ind w:firstLine="480" w:firstLineChars="200"/>
              <w:rPr>
                <w:rFonts w:ascii="Times New Roman" w:hAnsi="Times New Roman" w:cs="Times New Roman"/>
                <w:bCs/>
                <w:sz w:val="24"/>
                <w:szCs w:val="24"/>
              </w:rPr>
            </w:pPr>
            <w:r>
              <w:rPr>
                <w:rFonts w:ascii="Times New Roman" w:hAnsi="Times New Roman" w:cs="Times New Roman"/>
                <w:bCs/>
                <w:sz w:val="24"/>
                <w:szCs w:val="24"/>
              </w:rPr>
              <w:t>项目运营中会产生</w:t>
            </w:r>
            <w:r>
              <w:rPr>
                <w:rFonts w:hint="eastAsia" w:ascii="Times New Roman" w:hAnsi="Times New Roman" w:cs="Times New Roman"/>
                <w:bCs/>
                <w:sz w:val="24"/>
                <w:szCs w:val="24"/>
              </w:rPr>
              <w:t>食堂</w:t>
            </w:r>
            <w:r>
              <w:rPr>
                <w:rFonts w:ascii="Times New Roman" w:hAnsi="Times New Roman" w:cs="Times New Roman"/>
                <w:bCs/>
                <w:sz w:val="24"/>
                <w:szCs w:val="24"/>
              </w:rPr>
              <w:t>油烟废气。</w:t>
            </w:r>
            <w:r>
              <w:rPr>
                <w:rFonts w:hint="eastAsia" w:ascii="Times New Roman" w:hAnsi="Times New Roman" w:cs="Times New Roman"/>
                <w:bCs/>
                <w:sz w:val="24"/>
                <w:szCs w:val="24"/>
              </w:rPr>
              <w:t>根据验收监测报告，油烟通过油烟净化器后排放口排放，最大检测结果为0.9</w:t>
            </w:r>
            <w:r>
              <w:rPr>
                <w:rFonts w:ascii="Times New Roman" w:hAnsi="Times New Roman" w:cs="Times New Roman"/>
                <w:bCs/>
                <w:sz w:val="24"/>
                <w:szCs w:val="24"/>
              </w:rPr>
              <w:t>mg/m</w:t>
            </w:r>
            <w:r>
              <w:rPr>
                <w:rFonts w:ascii="Times New Roman" w:hAnsi="Times New Roman" w:cs="Times New Roman"/>
                <w:bCs/>
                <w:sz w:val="24"/>
                <w:szCs w:val="24"/>
                <w:vertAlign w:val="superscript"/>
              </w:rPr>
              <w:t>3</w:t>
            </w:r>
            <w:r>
              <w:rPr>
                <w:rFonts w:hint="eastAsia" w:ascii="Times New Roman" w:hAnsi="Times New Roman" w:cs="Times New Roman"/>
                <w:bCs/>
                <w:sz w:val="24"/>
                <w:szCs w:val="24"/>
              </w:rPr>
              <w:t>，</w:t>
            </w:r>
            <w:r>
              <w:rPr>
                <w:rFonts w:ascii="Times New Roman" w:hAnsi="Times New Roman" w:cs="Times New Roman"/>
                <w:bCs/>
                <w:sz w:val="24"/>
                <w:szCs w:val="24"/>
              </w:rPr>
              <w:t>可以满足《饮食业油烟排放标准（试行）》（GB18483-2001）中的小型规模标准</w:t>
            </w:r>
            <w:r>
              <w:rPr>
                <w:rFonts w:hint="eastAsia" w:ascii="Times New Roman" w:hAnsi="Times New Roman" w:cs="Times New Roman"/>
                <w:bCs/>
                <w:sz w:val="24"/>
                <w:szCs w:val="24"/>
              </w:rPr>
              <w:t>2.0</w:t>
            </w:r>
            <w:r>
              <w:rPr>
                <w:rFonts w:ascii="Times New Roman" w:hAnsi="Times New Roman" w:cs="Times New Roman"/>
                <w:bCs/>
                <w:sz w:val="24"/>
                <w:szCs w:val="24"/>
              </w:rPr>
              <w:t>mg/m</w:t>
            </w:r>
            <w:r>
              <w:rPr>
                <w:rFonts w:ascii="Times New Roman" w:hAnsi="Times New Roman" w:cs="Times New Roman"/>
                <w:bCs/>
                <w:sz w:val="24"/>
                <w:szCs w:val="24"/>
                <w:vertAlign w:val="superscript"/>
              </w:rPr>
              <w:t>3</w:t>
            </w:r>
            <w:r>
              <w:rPr>
                <w:rFonts w:hint="eastAsia" w:ascii="Times New Roman" w:hAnsi="Times New Roman" w:cs="Times New Roman"/>
                <w:bCs/>
                <w:sz w:val="24"/>
                <w:szCs w:val="24"/>
              </w:rPr>
              <w:t>要求</w:t>
            </w:r>
            <w:r>
              <w:rPr>
                <w:rFonts w:ascii="Times New Roman" w:hAnsi="Times New Roman" w:cs="Times New Roman"/>
                <w:bCs/>
                <w:sz w:val="24"/>
                <w:szCs w:val="24"/>
              </w:rPr>
              <w:t>。</w:t>
            </w:r>
          </w:p>
          <w:p>
            <w:pPr>
              <w:pStyle w:val="115"/>
              <w:spacing w:line="360" w:lineRule="auto"/>
              <w:ind w:firstLine="480" w:firstLineChars="200"/>
              <w:rPr>
                <w:rFonts w:ascii="Times New Roman" w:hAnsi="Times New Roman" w:cs="Times New Roman"/>
                <w:bCs/>
                <w:sz w:val="24"/>
                <w:szCs w:val="24"/>
              </w:rPr>
            </w:pPr>
            <w:r>
              <w:rPr>
                <w:rFonts w:hint="eastAsia" w:ascii="Times New Roman" w:hAnsi="Times New Roman" w:cs="Times New Roman"/>
                <w:bCs/>
                <w:sz w:val="24"/>
                <w:szCs w:val="24"/>
              </w:rPr>
              <w:t>根据《</w:t>
            </w:r>
            <w:r>
              <w:rPr>
                <w:rFonts w:hint="eastAsia"/>
                <w:sz w:val="24"/>
              </w:rPr>
              <w:t>内蒙古晟能能源有限责任公司工业固废综合利用技术改造项目</w:t>
            </w:r>
            <w:r>
              <w:rPr>
                <w:rFonts w:hint="eastAsia" w:ascii="Times New Roman" w:hAnsi="Times New Roman" w:cs="Times New Roman"/>
                <w:bCs/>
                <w:sz w:val="24"/>
                <w:szCs w:val="24"/>
              </w:rPr>
              <w:t>环境影响报告表》，废气主要为烘干机出口产生的烘干废气、燃烧机产生的烟气以及成品贮存区废气。</w:t>
            </w:r>
          </w:p>
          <w:p>
            <w:pPr>
              <w:pStyle w:val="81"/>
              <w:ind w:firstLine="480"/>
            </w:pPr>
            <w:r>
              <w:rPr>
                <w:rFonts w:hint="eastAsia"/>
              </w:rPr>
              <w:t>①烘干废气</w:t>
            </w:r>
          </w:p>
          <w:p>
            <w:pPr>
              <w:pStyle w:val="81"/>
              <w:ind w:firstLine="480"/>
            </w:pPr>
            <w:r>
              <w:rPr>
                <w:rFonts w:hint="eastAsia"/>
              </w:rPr>
              <w:t>由于高温烟气与物料为间接接触，本项目烘干烟气只为物料烘干时出口处逸散的粉尘，于烘干后物料出口上方设置集气罩对废气进行收集，配套“旋风除尘器+袋式除尘器”处理。</w:t>
            </w:r>
            <w:r>
              <w:t>参考《排放源统计调查产排污核算方法和系数手册》中的煤炭加工行业系数手册煤制品制造行业烘干工段的颗粒物产排污系数计算，烘干产排污系数为0.554kg/t-产品。本项目年处理</w:t>
            </w:r>
            <w:r>
              <w:rPr>
                <w:rFonts w:hint="eastAsia"/>
              </w:rPr>
              <w:t>物料</w:t>
            </w:r>
            <w:r>
              <w:t>量为</w:t>
            </w:r>
            <w:r>
              <w:rPr>
                <w:rFonts w:hint="eastAsia"/>
              </w:rPr>
              <w:t>24.4万</w:t>
            </w:r>
            <w:r>
              <w:t>t/a，</w:t>
            </w:r>
            <w:r>
              <w:rPr>
                <w:rFonts w:hint="eastAsia"/>
              </w:rPr>
              <w:t>产品量约为15.25万</w:t>
            </w:r>
            <w:r>
              <w:t>t/a</w:t>
            </w:r>
            <w:r>
              <w:rPr>
                <w:rFonts w:hint="eastAsia"/>
              </w:rPr>
              <w:t>，</w:t>
            </w:r>
            <w:r>
              <w:t>则烘干带出的颗粒物的量为</w:t>
            </w:r>
            <w:r>
              <w:rPr>
                <w:rFonts w:hint="eastAsia"/>
              </w:rPr>
              <w:t>84.485</w:t>
            </w:r>
            <w:r>
              <w:t>t/a</w:t>
            </w:r>
            <w:r>
              <w:rPr>
                <w:rFonts w:hint="eastAsia"/>
              </w:rPr>
              <w:t>，集气罩收集效率8</w:t>
            </w:r>
            <w:r>
              <w:t>0%</w:t>
            </w:r>
            <w:r>
              <w:rPr>
                <w:rFonts w:hint="eastAsia"/>
              </w:rPr>
              <w:t>，经旋风+布袋除尘器处理，风机风量14600m</w:t>
            </w:r>
            <w:r>
              <w:rPr>
                <w:rFonts w:hint="eastAsia"/>
                <w:vertAlign w:val="superscript"/>
              </w:rPr>
              <w:t>3</w:t>
            </w:r>
            <w:r>
              <w:rPr>
                <w:rFonts w:hint="eastAsia"/>
              </w:rPr>
              <w:t>/h，除尘效率为9</w:t>
            </w:r>
            <w:r>
              <w:t>9%</w:t>
            </w:r>
            <w:r>
              <w:rPr>
                <w:rFonts w:hint="eastAsia"/>
              </w:rPr>
              <w:t>，有组排放量为0</w:t>
            </w:r>
            <w:r>
              <w:t>.</w:t>
            </w:r>
            <w:r>
              <w:rPr>
                <w:rFonts w:hint="eastAsia"/>
              </w:rPr>
              <w:t>676</w:t>
            </w:r>
            <w:r>
              <w:t>t/a</w:t>
            </w:r>
            <w:r>
              <w:rPr>
                <w:rFonts w:hint="eastAsia"/>
              </w:rPr>
              <w:t>，考虑车间的截留效果</w:t>
            </w:r>
            <w:r>
              <w:t>90%</w:t>
            </w:r>
            <w:r>
              <w:rPr>
                <w:rFonts w:hint="eastAsia"/>
              </w:rPr>
              <w:t>后，无组织排放量为1</w:t>
            </w:r>
            <w:r>
              <w:t>.</w:t>
            </w:r>
            <w:r>
              <w:rPr>
                <w:rFonts w:hint="eastAsia"/>
              </w:rPr>
              <w:t>690</w:t>
            </w:r>
            <w:r>
              <w:t>t/a。</w:t>
            </w:r>
          </w:p>
          <w:p>
            <w:pPr>
              <w:pStyle w:val="81"/>
              <w:ind w:firstLine="480"/>
            </w:pPr>
            <w:r>
              <w:rPr>
                <w:rFonts w:hint="eastAsia"/>
              </w:rPr>
              <w:t>②燃烧机烟气</w:t>
            </w:r>
          </w:p>
          <w:p>
            <w:pPr>
              <w:pStyle w:val="81"/>
              <w:ind w:firstLine="480"/>
              <w:rPr>
                <w:bCs/>
              </w:rPr>
            </w:pPr>
            <w:r>
              <w:rPr>
                <w:rFonts w:hint="eastAsia"/>
              </w:rPr>
              <w:t>燃烧机</w:t>
            </w:r>
            <w:r>
              <w:t>燃烧废气中二氧化硫、氮氧化物和颗粒物的排放情况参照生态环境部《排放源统计调查产排污核算方法和系数手册》中工业锅炉（热力生产和供应行业）产污系数表-生物质工业锅炉进行计算</w:t>
            </w:r>
            <w:r>
              <w:rPr>
                <w:rFonts w:hint="eastAsia"/>
              </w:rPr>
              <w:t>，其中废气量为6240标m</w:t>
            </w:r>
            <w:r>
              <w:rPr>
                <w:rFonts w:hint="eastAsia"/>
                <w:vertAlign w:val="superscript"/>
              </w:rPr>
              <w:t>3</w:t>
            </w:r>
            <w:r>
              <w:rPr>
                <w:rFonts w:hint="eastAsia"/>
              </w:rPr>
              <w:t>/t-原料，二氧化硫产污系数为17S（含硫量，本项目为0.04%）kg/t-原料，颗粒物产污系数0.5kg/t-原料，氮氧化物产污系数为1.02kg/t-原料，生物质燃料用量</w:t>
            </w:r>
            <w:r>
              <w:t>1.36</w:t>
            </w:r>
            <w:r>
              <w:rPr>
                <w:rFonts w:hint="eastAsia"/>
              </w:rPr>
              <w:t>万t/a。</w:t>
            </w:r>
            <w:r>
              <w:rPr>
                <w:rFonts w:hint="eastAsia"/>
                <w:bCs/>
              </w:rPr>
              <w:t>项目对燃烧烟气采用“旋风除尘器+袋式除尘器”处理，除尘效率为99%，因此燃烧烟气经收集及处理后有组织排放颗粒物量为0.068t/a，二氧化硫排放量为9.248t/a，氮氧化物排放量为13.872t/a。项目分别于烘干后物料出口上方设置集气罩对废气进行收集（集气罩收集效率以80%计），配套“旋风除尘器+袋式除尘器”，处理后与燃烧烟气共同由1根24m高排气筒（DA001）排放，经同一根排气筒合并排放后颗粒物排放量为0.744t/a，排放速率为0.13kg/h，排放浓度8.77mg/m</w:t>
            </w:r>
            <w:r>
              <w:rPr>
                <w:rFonts w:hint="eastAsia"/>
                <w:bCs/>
                <w:vertAlign w:val="superscript"/>
              </w:rPr>
              <w:t>3</w:t>
            </w:r>
            <w:r>
              <w:rPr>
                <w:rFonts w:hint="eastAsia"/>
                <w:bCs/>
              </w:rPr>
              <w:t>；二氧化硫排放量为9.248t/a，排放速率为1.58kg/h，排放浓度108.97mg/m</w:t>
            </w:r>
            <w:r>
              <w:rPr>
                <w:rFonts w:hint="eastAsia"/>
                <w:bCs/>
                <w:vertAlign w:val="superscript"/>
              </w:rPr>
              <w:t>3</w:t>
            </w:r>
            <w:r>
              <w:rPr>
                <w:rFonts w:hint="eastAsia"/>
                <w:bCs/>
              </w:rPr>
              <w:t>；氮氧化物排放量为13.872t/a，排放速率为2.38kg/h，排放浓度163.46mg/m</w:t>
            </w:r>
            <w:r>
              <w:rPr>
                <w:rFonts w:hint="eastAsia"/>
                <w:bCs/>
                <w:vertAlign w:val="superscript"/>
              </w:rPr>
              <w:t>3</w:t>
            </w:r>
            <w:r>
              <w:rPr>
                <w:rFonts w:hint="eastAsia"/>
                <w:bCs/>
              </w:rPr>
              <w:t>。处理后颗粒物满足《大气污染物综合排放标准》（GB16297-1996）中二级标准（颗粒物排放浓度限值为120mg/m</w:t>
            </w:r>
            <w:r>
              <w:rPr>
                <w:rFonts w:hint="eastAsia"/>
                <w:bCs/>
                <w:vertAlign w:val="superscript"/>
              </w:rPr>
              <w:t>3</w:t>
            </w:r>
            <w:r>
              <w:rPr>
                <w:rFonts w:hint="eastAsia"/>
                <w:bCs/>
              </w:rPr>
              <w:t>、</w:t>
            </w:r>
            <w:r>
              <w:rPr>
                <w:rFonts w:hint="eastAsia"/>
                <w:bCs/>
                <w:color w:val="FF0000"/>
              </w:rPr>
              <w:t>排放速率12.74kg/h</w:t>
            </w:r>
            <w:r>
              <w:rPr>
                <w:rFonts w:hint="eastAsia"/>
                <w:bCs/>
              </w:rPr>
              <w:t>）、二氧化硫满足《工业炉窑大气污染物排放标准》（GB9078-1996）中二级排放标准（二氧化硫排放限值为850mg/m</w:t>
            </w:r>
            <w:r>
              <w:rPr>
                <w:rFonts w:hint="eastAsia"/>
                <w:bCs/>
                <w:vertAlign w:val="superscript"/>
              </w:rPr>
              <w:t>3</w:t>
            </w:r>
            <w:r>
              <w:rPr>
                <w:rFonts w:hint="eastAsia"/>
                <w:bCs/>
              </w:rPr>
              <w:t>），氮氧化物满足《大气污染物综合排放标准》（GB16297-1996）中二级标准（氮氧化物排放浓度限值为240mg/m</w:t>
            </w:r>
            <w:r>
              <w:rPr>
                <w:rFonts w:hint="eastAsia"/>
                <w:bCs/>
                <w:vertAlign w:val="superscript"/>
              </w:rPr>
              <w:t>3</w:t>
            </w:r>
            <w:r>
              <w:rPr>
                <w:rFonts w:hint="eastAsia"/>
                <w:bCs/>
              </w:rPr>
              <w:t>、排放速率2.54kg/h）。</w:t>
            </w:r>
          </w:p>
          <w:p>
            <w:pPr>
              <w:pStyle w:val="81"/>
              <w:ind w:firstLine="480"/>
              <w:rPr>
                <w:bCs/>
              </w:rPr>
            </w:pPr>
            <w:r>
              <w:rPr>
                <w:rFonts w:hint="eastAsia"/>
                <w:bCs/>
              </w:rPr>
              <w:t>③成品贮存区装卸废气G3</w:t>
            </w:r>
          </w:p>
          <w:p>
            <w:pPr>
              <w:pStyle w:val="81"/>
              <w:ind w:firstLine="480"/>
              <w:rPr>
                <w:bCs/>
              </w:rPr>
            </w:pPr>
            <w:r>
              <w:rPr>
                <w:rFonts w:hint="eastAsia"/>
                <w:bCs/>
              </w:rPr>
              <w:t>本项目设备均位于全封闭车间内，设置全封闭输送皮带，产生的粉尘主要为装车、卸料过程中产生的粉尘以及堆场起尘，成品贮存区装卸废气于全封闭车间无组织排放经过计算，全封闭成品贮存区装卸运输粉尘产生量为0.592t/a。</w:t>
            </w:r>
          </w:p>
          <w:p>
            <w:pPr>
              <w:jc w:val="center"/>
              <w:rPr>
                <w:rFonts w:ascii="Times New Roman" w:hAnsi="Times New Roman" w:eastAsia="宋体" w:cs="Times New Roman"/>
                <w:b/>
                <w:szCs w:val="21"/>
              </w:rPr>
            </w:pPr>
            <w:r>
              <w:rPr>
                <w:rFonts w:ascii="Times New Roman" w:hAnsi="Times New Roman" w:eastAsia="宋体" w:cs="Times New Roman"/>
                <w:b/>
                <w:szCs w:val="21"/>
              </w:rPr>
              <w:t>表2-17  现有工程大气污染物排放量表</w:t>
            </w:r>
          </w:p>
          <w:tbl>
            <w:tblPr>
              <w:tblStyle w:val="2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875"/>
              <w:gridCol w:w="661"/>
              <w:gridCol w:w="789"/>
              <w:gridCol w:w="1013"/>
              <w:gridCol w:w="4490"/>
              <w:gridCol w:w="80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07"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污染物名称</w:t>
                  </w:r>
                </w:p>
              </w:tc>
              <w:tc>
                <w:tcPr>
                  <w:tcW w:w="840" w:type="pct"/>
                  <w:gridSpan w:val="2"/>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排放量t/a</w:t>
                  </w:r>
                </w:p>
              </w:tc>
              <w:tc>
                <w:tcPr>
                  <w:tcW w:w="587"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排放方式</w:t>
                  </w:r>
                </w:p>
              </w:tc>
              <w:tc>
                <w:tcPr>
                  <w:tcW w:w="2601"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排放标准</w:t>
                  </w:r>
                </w:p>
              </w:tc>
              <w:tc>
                <w:tcPr>
                  <w:tcW w:w="464"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07"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氨</w:t>
                  </w:r>
                </w:p>
              </w:tc>
              <w:tc>
                <w:tcPr>
                  <w:tcW w:w="840" w:type="pct"/>
                  <w:gridSpan w:val="2"/>
                  <w:vAlign w:val="center"/>
                </w:tcPr>
                <w:p>
                  <w:pPr>
                    <w:jc w:val="center"/>
                    <w:rPr>
                      <w:rFonts w:ascii="Times New Roman" w:hAnsi="Times New Roman" w:eastAsia="宋体" w:cs="Times New Roman"/>
                      <w:szCs w:val="21"/>
                    </w:rPr>
                  </w:pPr>
                  <w:r>
                    <w:rPr>
                      <w:rFonts w:ascii="Times New Roman" w:hAnsi="Times New Roman" w:eastAsia="宋体" w:cs="Times New Roman"/>
                      <w:szCs w:val="21"/>
                    </w:rPr>
                    <w:t>6</w:t>
                  </w:r>
                </w:p>
              </w:tc>
              <w:tc>
                <w:tcPr>
                  <w:tcW w:w="587" w:type="pct"/>
                  <w:vAlign w:val="center"/>
                </w:tcPr>
                <w:p>
                  <w:pPr>
                    <w:jc w:val="center"/>
                    <w:rPr>
                      <w:rFonts w:ascii="Times New Roman" w:hAnsi="Times New Roman" w:eastAsia="宋体" w:cs="Times New Roman"/>
                      <w:szCs w:val="21"/>
                    </w:rPr>
                  </w:pPr>
                  <w:bookmarkStart w:id="253" w:name="OLE_LINK28"/>
                  <w:bookmarkStart w:id="254" w:name="OLE_LINK26"/>
                  <w:r>
                    <w:rPr>
                      <w:rFonts w:ascii="Times New Roman" w:hAnsi="Times New Roman" w:eastAsia="宋体" w:cs="Times New Roman"/>
                      <w:szCs w:val="21"/>
                    </w:rPr>
                    <w:t>无组织</w:t>
                  </w:r>
                  <w:bookmarkEnd w:id="253"/>
                  <w:bookmarkEnd w:id="254"/>
                </w:p>
              </w:tc>
              <w:tc>
                <w:tcPr>
                  <w:tcW w:w="2601"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《恶臭污染物排放标准》 （GB14554-93）中无组织排放监控浓度限值1.5mg/m</w:t>
                  </w:r>
                  <w:r>
                    <w:rPr>
                      <w:rFonts w:ascii="Times New Roman" w:hAnsi="Times New Roman" w:eastAsia="宋体" w:cs="Times New Roman"/>
                      <w:szCs w:val="21"/>
                      <w:vertAlign w:val="superscript"/>
                    </w:rPr>
                    <w:t>3</w:t>
                  </w:r>
                </w:p>
              </w:tc>
              <w:tc>
                <w:tcPr>
                  <w:tcW w:w="464"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来自环评报告</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07"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食堂油烟</w:t>
                  </w:r>
                </w:p>
              </w:tc>
              <w:tc>
                <w:tcPr>
                  <w:tcW w:w="840" w:type="pct"/>
                  <w:gridSpan w:val="2"/>
                  <w:vAlign w:val="center"/>
                </w:tcPr>
                <w:p>
                  <w:pPr>
                    <w:jc w:val="center"/>
                    <w:rPr>
                      <w:rFonts w:ascii="Times New Roman" w:hAnsi="Times New Roman" w:eastAsia="宋体" w:cs="Times New Roman"/>
                      <w:szCs w:val="21"/>
                    </w:rPr>
                  </w:pPr>
                  <w:r>
                    <w:rPr>
                      <w:rFonts w:ascii="Times New Roman" w:hAnsi="Times New Roman" w:eastAsia="宋体" w:cs="Times New Roman"/>
                      <w:szCs w:val="21"/>
                    </w:rPr>
                    <w:t>0.0026</w:t>
                  </w:r>
                </w:p>
              </w:tc>
              <w:tc>
                <w:tcPr>
                  <w:tcW w:w="587" w:type="pct"/>
                  <w:vAlign w:val="center"/>
                </w:tcPr>
                <w:p>
                  <w:pPr>
                    <w:snapToGrid w:val="0"/>
                    <w:jc w:val="center"/>
                    <w:rPr>
                      <w:rFonts w:ascii="Times New Roman" w:hAnsi="Times New Roman" w:eastAsia="宋体" w:cs="Times New Roman"/>
                      <w:szCs w:val="21"/>
                    </w:rPr>
                  </w:pPr>
                  <w:r>
                    <w:rPr>
                      <w:rFonts w:ascii="Times New Roman" w:hAnsi="Times New Roman" w:eastAsia="宋体" w:cs="Times New Roman"/>
                      <w:szCs w:val="21"/>
                    </w:rPr>
                    <w:t>有组织</w:t>
                  </w:r>
                </w:p>
              </w:tc>
              <w:tc>
                <w:tcPr>
                  <w:tcW w:w="2601"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《饮食业油烟排放标准（试行）》（GB18483-2001）中的小型规模标准， 要求油烟最高允许排放浓度为2.0mg/m</w:t>
                  </w:r>
                  <w:r>
                    <w:rPr>
                      <w:rFonts w:ascii="Times New Roman" w:hAnsi="Times New Roman" w:eastAsia="宋体" w:cs="Times New Roman"/>
                      <w:szCs w:val="21"/>
                      <w:vertAlign w:val="superscript"/>
                    </w:rPr>
                    <w:t>3</w:t>
                  </w:r>
                </w:p>
              </w:tc>
              <w:tc>
                <w:tcPr>
                  <w:tcW w:w="464" w:type="pct"/>
                  <w:vAlign w:val="center"/>
                </w:tcPr>
                <w:p>
                  <w:pPr>
                    <w:jc w:val="center"/>
                    <w:rPr>
                      <w:rFonts w:ascii="Times New Roman" w:hAnsi="Times New Roman" w:eastAsia="宋体" w:cs="Times New Roman"/>
                      <w:szCs w:val="21"/>
                    </w:rPr>
                  </w:pPr>
                  <w:bookmarkStart w:id="255" w:name="OLE_LINK34"/>
                  <w:bookmarkStart w:id="256" w:name="OLE_LINK33"/>
                  <w:r>
                    <w:rPr>
                      <w:rFonts w:ascii="Times New Roman" w:hAnsi="Times New Roman" w:eastAsia="宋体" w:cs="Times New Roman"/>
                      <w:szCs w:val="21"/>
                    </w:rPr>
                    <w:t>来自环评报告</w:t>
                  </w:r>
                  <w:bookmarkEnd w:id="255"/>
                  <w:bookmarkEnd w:id="256"/>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19" w:hRule="atLeast"/>
                <w:jc w:val="center"/>
              </w:trPr>
              <w:tc>
                <w:tcPr>
                  <w:tcW w:w="507" w:type="pct"/>
                  <w:vMerge w:val="restart"/>
                  <w:vAlign w:val="center"/>
                </w:tcPr>
                <w:p>
                  <w:pPr>
                    <w:jc w:val="center"/>
                    <w:rPr>
                      <w:rFonts w:ascii="Times New Roman" w:hAnsi="Times New Roman" w:eastAsia="宋体" w:cs="Times New Roman"/>
                      <w:szCs w:val="21"/>
                    </w:rPr>
                  </w:pPr>
                  <w:bookmarkStart w:id="257" w:name="_Hlk209597791"/>
                  <w:r>
                    <w:rPr>
                      <w:rFonts w:ascii="Times New Roman" w:hAnsi="Times New Roman" w:eastAsia="宋体" w:cs="Times New Roman"/>
                      <w:kern w:val="0"/>
                      <w:szCs w:val="21"/>
                    </w:rPr>
                    <w:t>烘干废气</w:t>
                  </w:r>
                </w:p>
              </w:tc>
              <w:tc>
                <w:tcPr>
                  <w:tcW w:w="840" w:type="pct"/>
                  <w:gridSpan w:val="2"/>
                  <w:vAlign w:val="center"/>
                </w:tcPr>
                <w:p>
                  <w:pPr>
                    <w:jc w:val="center"/>
                    <w:rPr>
                      <w:rFonts w:ascii="Times New Roman" w:hAnsi="Times New Roman" w:eastAsia="宋体" w:cs="Times New Roman"/>
                      <w:szCs w:val="21"/>
                    </w:rPr>
                  </w:pPr>
                  <w:r>
                    <w:rPr>
                      <w:rFonts w:ascii="Times New Roman" w:hAnsi="Times New Roman" w:eastAsia="宋体" w:cs="Times New Roman"/>
                      <w:szCs w:val="21"/>
                    </w:rPr>
                    <w:t>1.690</w:t>
                  </w:r>
                </w:p>
              </w:tc>
              <w:tc>
                <w:tcPr>
                  <w:tcW w:w="587" w:type="pct"/>
                  <w:vAlign w:val="center"/>
                </w:tcPr>
                <w:p>
                  <w:pPr>
                    <w:snapToGrid w:val="0"/>
                    <w:jc w:val="center"/>
                    <w:rPr>
                      <w:rFonts w:ascii="Times New Roman" w:hAnsi="Times New Roman" w:eastAsia="宋体" w:cs="Times New Roman"/>
                      <w:szCs w:val="21"/>
                    </w:rPr>
                  </w:pPr>
                  <w:r>
                    <w:rPr>
                      <w:rFonts w:ascii="Times New Roman" w:hAnsi="Times New Roman" w:eastAsia="宋体" w:cs="Times New Roman"/>
                      <w:szCs w:val="21"/>
                    </w:rPr>
                    <w:t>无组织</w:t>
                  </w:r>
                </w:p>
              </w:tc>
              <w:tc>
                <w:tcPr>
                  <w:tcW w:w="2601" w:type="pct"/>
                  <w:vAlign w:val="center"/>
                </w:tcPr>
                <w:p>
                  <w:pPr>
                    <w:jc w:val="center"/>
                    <w:rPr>
                      <w:rFonts w:ascii="Times New Roman" w:hAnsi="Times New Roman" w:eastAsia="宋体" w:cs="Times New Roman"/>
                      <w:szCs w:val="21"/>
                    </w:rPr>
                  </w:pPr>
                  <w:r>
                    <w:rPr>
                      <w:rFonts w:ascii="Times New Roman" w:hAnsi="Times New Roman" w:eastAsia="宋体" w:cs="Times New Roman"/>
                      <w:bCs/>
                      <w:kern w:val="0"/>
                      <w:szCs w:val="21"/>
                    </w:rPr>
                    <w:t>《大气污染物综合排放标准》（GB16297-1996）中厂界无组织标准</w:t>
                  </w:r>
                </w:p>
              </w:tc>
              <w:tc>
                <w:tcPr>
                  <w:tcW w:w="464" w:type="pct"/>
                  <w:vMerge w:val="restar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来自环评报告</w:t>
                  </w:r>
                </w:p>
              </w:tc>
            </w:tr>
            <w:bookmarkEnd w:id="257"/>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19" w:hRule="atLeast"/>
                <w:jc w:val="center"/>
              </w:trPr>
              <w:tc>
                <w:tcPr>
                  <w:tcW w:w="507" w:type="pct"/>
                  <w:vMerge w:val="continue"/>
                  <w:vAlign w:val="center"/>
                </w:tcPr>
                <w:p>
                  <w:pPr>
                    <w:jc w:val="center"/>
                    <w:rPr>
                      <w:rFonts w:ascii="Times New Roman" w:hAnsi="Times New Roman" w:eastAsia="宋体" w:cs="Times New Roman"/>
                      <w:kern w:val="0"/>
                      <w:szCs w:val="21"/>
                    </w:rPr>
                  </w:pPr>
                </w:p>
              </w:tc>
              <w:tc>
                <w:tcPr>
                  <w:tcW w:w="840" w:type="pct"/>
                  <w:gridSpan w:val="2"/>
                  <w:vAlign w:val="center"/>
                </w:tcPr>
                <w:p>
                  <w:pPr>
                    <w:jc w:val="center"/>
                    <w:rPr>
                      <w:rFonts w:ascii="Times New Roman" w:hAnsi="Times New Roman" w:eastAsia="宋体" w:cs="Times New Roman"/>
                      <w:szCs w:val="21"/>
                    </w:rPr>
                  </w:pPr>
                  <w:r>
                    <w:rPr>
                      <w:rFonts w:ascii="Times New Roman" w:hAnsi="Times New Roman" w:eastAsia="宋体" w:cs="Times New Roman"/>
                      <w:szCs w:val="21"/>
                    </w:rPr>
                    <w:t>0.744</w:t>
                  </w:r>
                </w:p>
              </w:tc>
              <w:tc>
                <w:tcPr>
                  <w:tcW w:w="587" w:type="pct"/>
                  <w:vAlign w:val="center"/>
                </w:tcPr>
                <w:p>
                  <w:pPr>
                    <w:snapToGrid w:val="0"/>
                    <w:jc w:val="center"/>
                    <w:rPr>
                      <w:rFonts w:ascii="Times New Roman" w:hAnsi="Times New Roman" w:eastAsia="宋体" w:cs="Times New Roman"/>
                      <w:szCs w:val="21"/>
                    </w:rPr>
                  </w:pPr>
                  <w:r>
                    <w:rPr>
                      <w:rFonts w:ascii="Times New Roman" w:hAnsi="Times New Roman" w:eastAsia="宋体" w:cs="Times New Roman"/>
                      <w:szCs w:val="21"/>
                    </w:rPr>
                    <w:t>有组织</w:t>
                  </w:r>
                </w:p>
              </w:tc>
              <w:tc>
                <w:tcPr>
                  <w:tcW w:w="2601" w:type="pct"/>
                  <w:vMerge w:val="restart"/>
                  <w:vAlign w:val="center"/>
                </w:tcPr>
                <w:p>
                  <w:pPr>
                    <w:jc w:val="center"/>
                    <w:rPr>
                      <w:rFonts w:ascii="Times New Roman" w:hAnsi="Times New Roman" w:eastAsia="宋体" w:cs="Times New Roman"/>
                      <w:szCs w:val="21"/>
                    </w:rPr>
                  </w:pPr>
                  <w:r>
                    <w:rPr>
                      <w:rFonts w:ascii="Times New Roman" w:hAnsi="Times New Roman" w:eastAsia="宋体" w:cs="Times New Roman"/>
                      <w:bCs/>
                      <w:kern w:val="0"/>
                      <w:szCs w:val="21"/>
                    </w:rPr>
                    <w:t>《工业炉窑大气污染物排放标准》（GB9078-1996）中二级排放标准（颗粒物200mg/m</w:t>
                  </w:r>
                  <w:r>
                    <w:rPr>
                      <w:rFonts w:ascii="Times New Roman" w:hAnsi="Times New Roman" w:eastAsia="宋体" w:cs="Times New Roman"/>
                      <w:bCs/>
                      <w:kern w:val="0"/>
                      <w:szCs w:val="21"/>
                      <w:vertAlign w:val="superscript"/>
                    </w:rPr>
                    <w:t>3</w:t>
                  </w:r>
                  <w:r>
                    <w:rPr>
                      <w:rFonts w:ascii="Times New Roman" w:hAnsi="Times New Roman" w:eastAsia="宋体" w:cs="Times New Roman"/>
                      <w:bCs/>
                      <w:kern w:val="0"/>
                      <w:szCs w:val="21"/>
                    </w:rPr>
                    <w:t>、二氧化硫850mg/m</w:t>
                  </w:r>
                  <w:r>
                    <w:rPr>
                      <w:rFonts w:ascii="Times New Roman" w:hAnsi="Times New Roman" w:eastAsia="宋体" w:cs="Times New Roman"/>
                      <w:bCs/>
                      <w:kern w:val="0"/>
                      <w:szCs w:val="21"/>
                      <w:vertAlign w:val="superscript"/>
                    </w:rPr>
                    <w:t>3</w:t>
                  </w:r>
                  <w:r>
                    <w:rPr>
                      <w:rFonts w:ascii="Times New Roman" w:hAnsi="Times New Roman" w:eastAsia="宋体" w:cs="Times New Roman"/>
                      <w:bCs/>
                      <w:kern w:val="0"/>
                      <w:szCs w:val="21"/>
                    </w:rPr>
                    <w:t>）</w:t>
                  </w:r>
                </w:p>
              </w:tc>
              <w:tc>
                <w:tcPr>
                  <w:tcW w:w="464" w:type="pct"/>
                  <w:vMerge w:val="continue"/>
                  <w:vAlign w:val="center"/>
                </w:tcPr>
                <w:p>
                  <w:pPr>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19" w:hRule="atLeast"/>
                <w:jc w:val="center"/>
              </w:trPr>
              <w:tc>
                <w:tcPr>
                  <w:tcW w:w="507" w:type="pct"/>
                  <w:vMerge w:val="restart"/>
                  <w:vAlign w:val="center"/>
                </w:tcPr>
                <w:p>
                  <w:pPr>
                    <w:jc w:val="center"/>
                    <w:rPr>
                      <w:rFonts w:ascii="Times New Roman" w:hAnsi="Times New Roman" w:eastAsia="宋体" w:cs="Times New Roman"/>
                      <w:szCs w:val="21"/>
                    </w:rPr>
                  </w:pPr>
                  <w:r>
                    <w:rPr>
                      <w:rFonts w:ascii="Times New Roman" w:hAnsi="Times New Roman" w:eastAsia="宋体" w:cs="Times New Roman"/>
                      <w:kern w:val="0"/>
                      <w:szCs w:val="21"/>
                    </w:rPr>
                    <w:t>燃烧机烟气</w:t>
                  </w:r>
                </w:p>
              </w:tc>
              <w:tc>
                <w:tcPr>
                  <w:tcW w:w="383" w:type="pct"/>
                  <w:vAlign w:val="center"/>
                </w:tcPr>
                <w:p>
                  <w:pPr>
                    <w:jc w:val="center"/>
                    <w:rPr>
                      <w:rFonts w:ascii="Times New Roman" w:hAnsi="Times New Roman" w:eastAsia="宋体" w:cs="Times New Roman"/>
                      <w:szCs w:val="21"/>
                    </w:rPr>
                  </w:pPr>
                  <w:r>
                    <w:rPr>
                      <w:rFonts w:ascii="Times New Roman" w:hAnsi="Times New Roman" w:eastAsia="宋体" w:cs="Times New Roman"/>
                      <w:kern w:val="0"/>
                      <w:szCs w:val="21"/>
                    </w:rPr>
                    <w:t>颗粒物</w:t>
                  </w:r>
                </w:p>
              </w:tc>
              <w:tc>
                <w:tcPr>
                  <w:tcW w:w="457"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0.068</w:t>
                  </w:r>
                </w:p>
              </w:tc>
              <w:tc>
                <w:tcPr>
                  <w:tcW w:w="587" w:type="pct"/>
                  <w:vMerge w:val="restart"/>
                  <w:vAlign w:val="center"/>
                </w:tcPr>
                <w:p>
                  <w:pPr>
                    <w:snapToGrid w:val="0"/>
                    <w:jc w:val="center"/>
                    <w:rPr>
                      <w:rFonts w:ascii="Times New Roman" w:hAnsi="Times New Roman" w:eastAsia="宋体" w:cs="Times New Roman"/>
                      <w:szCs w:val="21"/>
                    </w:rPr>
                  </w:pPr>
                  <w:r>
                    <w:rPr>
                      <w:rFonts w:ascii="Times New Roman" w:hAnsi="Times New Roman" w:eastAsia="宋体" w:cs="Times New Roman"/>
                      <w:szCs w:val="21"/>
                    </w:rPr>
                    <w:t>有组织</w:t>
                  </w:r>
                </w:p>
              </w:tc>
              <w:tc>
                <w:tcPr>
                  <w:tcW w:w="2601" w:type="pct"/>
                  <w:vMerge w:val="continue"/>
                  <w:vAlign w:val="center"/>
                </w:tcPr>
                <w:p>
                  <w:pPr>
                    <w:jc w:val="center"/>
                    <w:rPr>
                      <w:rFonts w:ascii="Times New Roman" w:hAnsi="Times New Roman" w:eastAsia="宋体" w:cs="Times New Roman"/>
                      <w:szCs w:val="21"/>
                    </w:rPr>
                  </w:pPr>
                </w:p>
              </w:tc>
              <w:tc>
                <w:tcPr>
                  <w:tcW w:w="464" w:type="pct"/>
                  <w:vMerge w:val="restar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来自环评报告</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19" w:hRule="atLeast"/>
                <w:jc w:val="center"/>
              </w:trPr>
              <w:tc>
                <w:tcPr>
                  <w:tcW w:w="507" w:type="pct"/>
                  <w:vMerge w:val="continue"/>
                  <w:vAlign w:val="center"/>
                </w:tcPr>
                <w:p>
                  <w:pPr>
                    <w:jc w:val="center"/>
                    <w:rPr>
                      <w:rFonts w:ascii="Times New Roman" w:hAnsi="Times New Roman" w:eastAsia="宋体" w:cs="Times New Roman"/>
                      <w:kern w:val="0"/>
                      <w:szCs w:val="21"/>
                    </w:rPr>
                  </w:pPr>
                </w:p>
              </w:tc>
              <w:tc>
                <w:tcPr>
                  <w:tcW w:w="383" w:type="pct"/>
                  <w:vAlign w:val="center"/>
                </w:tcPr>
                <w:p>
                  <w:pPr>
                    <w:jc w:val="center"/>
                    <w:rPr>
                      <w:rFonts w:ascii="Times New Roman" w:hAnsi="Times New Roman" w:eastAsia="宋体" w:cs="Times New Roman"/>
                      <w:szCs w:val="21"/>
                    </w:rPr>
                  </w:pPr>
                  <w:r>
                    <w:rPr>
                      <w:rFonts w:ascii="Times New Roman" w:hAnsi="Times New Roman" w:eastAsia="宋体" w:cs="Times New Roman"/>
                      <w:kern w:val="0"/>
                      <w:szCs w:val="21"/>
                    </w:rPr>
                    <w:t>二氧化硫</w:t>
                  </w:r>
                </w:p>
              </w:tc>
              <w:tc>
                <w:tcPr>
                  <w:tcW w:w="457"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9.248</w:t>
                  </w:r>
                </w:p>
              </w:tc>
              <w:tc>
                <w:tcPr>
                  <w:tcW w:w="587" w:type="pct"/>
                  <w:vMerge w:val="continue"/>
                  <w:vAlign w:val="center"/>
                </w:tcPr>
                <w:p>
                  <w:pPr>
                    <w:snapToGrid w:val="0"/>
                    <w:jc w:val="center"/>
                    <w:rPr>
                      <w:rFonts w:ascii="Times New Roman" w:hAnsi="Times New Roman" w:eastAsia="宋体" w:cs="Times New Roman"/>
                      <w:szCs w:val="21"/>
                    </w:rPr>
                  </w:pPr>
                </w:p>
              </w:tc>
              <w:tc>
                <w:tcPr>
                  <w:tcW w:w="2601" w:type="pct"/>
                  <w:vMerge w:val="restart"/>
                  <w:vAlign w:val="center"/>
                </w:tcPr>
                <w:p>
                  <w:pPr>
                    <w:jc w:val="center"/>
                    <w:rPr>
                      <w:rFonts w:ascii="Times New Roman" w:hAnsi="Times New Roman" w:eastAsia="宋体" w:cs="Times New Roman"/>
                      <w:szCs w:val="21"/>
                    </w:rPr>
                  </w:pPr>
                  <w:r>
                    <w:rPr>
                      <w:rFonts w:ascii="Times New Roman" w:hAnsi="Times New Roman" w:eastAsia="宋体" w:cs="Times New Roman"/>
                      <w:bCs/>
                      <w:kern w:val="0"/>
                      <w:szCs w:val="21"/>
                    </w:rPr>
                    <w:t>《大气污染物综合排放标准》（GB16297-1996）中二级标准（氮氧化物240mg/m</w:t>
                  </w:r>
                  <w:r>
                    <w:rPr>
                      <w:rFonts w:ascii="Times New Roman" w:hAnsi="Times New Roman" w:eastAsia="宋体" w:cs="Times New Roman"/>
                      <w:bCs/>
                      <w:kern w:val="0"/>
                      <w:szCs w:val="21"/>
                      <w:vertAlign w:val="superscript"/>
                    </w:rPr>
                    <w:t>3</w:t>
                  </w:r>
                  <w:r>
                    <w:rPr>
                      <w:rFonts w:ascii="Times New Roman" w:hAnsi="Times New Roman" w:eastAsia="宋体" w:cs="Times New Roman"/>
                      <w:bCs/>
                      <w:kern w:val="0"/>
                      <w:szCs w:val="21"/>
                    </w:rPr>
                    <w:t>）</w:t>
                  </w:r>
                </w:p>
              </w:tc>
              <w:tc>
                <w:tcPr>
                  <w:tcW w:w="464" w:type="pct"/>
                  <w:vMerge w:val="continue"/>
                  <w:vAlign w:val="center"/>
                </w:tcPr>
                <w:p>
                  <w:pPr>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19" w:hRule="atLeast"/>
                <w:jc w:val="center"/>
              </w:trPr>
              <w:tc>
                <w:tcPr>
                  <w:tcW w:w="507" w:type="pct"/>
                  <w:vMerge w:val="continue"/>
                  <w:vAlign w:val="center"/>
                </w:tcPr>
                <w:p>
                  <w:pPr>
                    <w:jc w:val="center"/>
                    <w:rPr>
                      <w:rFonts w:ascii="Times New Roman" w:hAnsi="Times New Roman" w:eastAsia="宋体" w:cs="Times New Roman"/>
                      <w:kern w:val="0"/>
                      <w:szCs w:val="21"/>
                    </w:rPr>
                  </w:pPr>
                </w:p>
              </w:tc>
              <w:tc>
                <w:tcPr>
                  <w:tcW w:w="383" w:type="pct"/>
                  <w:vAlign w:val="center"/>
                </w:tcPr>
                <w:p>
                  <w:pPr>
                    <w:jc w:val="center"/>
                    <w:rPr>
                      <w:rFonts w:ascii="Times New Roman" w:hAnsi="Times New Roman" w:eastAsia="宋体" w:cs="Times New Roman"/>
                      <w:szCs w:val="21"/>
                    </w:rPr>
                  </w:pPr>
                  <w:r>
                    <w:rPr>
                      <w:rFonts w:ascii="Times New Roman" w:hAnsi="Times New Roman" w:eastAsia="宋体" w:cs="Times New Roman"/>
                      <w:kern w:val="0"/>
                      <w:szCs w:val="21"/>
                    </w:rPr>
                    <w:t>氮氧化物</w:t>
                  </w:r>
                </w:p>
              </w:tc>
              <w:tc>
                <w:tcPr>
                  <w:tcW w:w="457"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13.872</w:t>
                  </w:r>
                </w:p>
              </w:tc>
              <w:tc>
                <w:tcPr>
                  <w:tcW w:w="587" w:type="pct"/>
                  <w:vMerge w:val="continue"/>
                  <w:vAlign w:val="center"/>
                </w:tcPr>
                <w:p>
                  <w:pPr>
                    <w:snapToGrid w:val="0"/>
                    <w:jc w:val="center"/>
                    <w:rPr>
                      <w:rFonts w:ascii="Times New Roman" w:hAnsi="Times New Roman" w:eastAsia="宋体" w:cs="Times New Roman"/>
                      <w:szCs w:val="21"/>
                    </w:rPr>
                  </w:pPr>
                </w:p>
              </w:tc>
              <w:tc>
                <w:tcPr>
                  <w:tcW w:w="2601" w:type="pct"/>
                  <w:vMerge w:val="continue"/>
                  <w:vAlign w:val="center"/>
                </w:tcPr>
                <w:p>
                  <w:pPr>
                    <w:jc w:val="center"/>
                    <w:rPr>
                      <w:rFonts w:ascii="Times New Roman" w:hAnsi="Times New Roman" w:eastAsia="宋体" w:cs="Times New Roman"/>
                      <w:szCs w:val="21"/>
                    </w:rPr>
                  </w:pPr>
                </w:p>
              </w:tc>
              <w:tc>
                <w:tcPr>
                  <w:tcW w:w="464" w:type="pct"/>
                  <w:vMerge w:val="continue"/>
                  <w:vAlign w:val="center"/>
                </w:tcPr>
                <w:p>
                  <w:pPr>
                    <w:jc w:val="center"/>
                    <w:rPr>
                      <w:rFonts w:ascii="Times New Roman" w:hAnsi="Times New Roman" w:eastAsia="宋体" w:cs="Times New Roman"/>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07" w:type="pct"/>
                  <w:vAlign w:val="center"/>
                </w:tcPr>
                <w:p>
                  <w:pPr>
                    <w:jc w:val="center"/>
                    <w:rPr>
                      <w:rFonts w:ascii="Times New Roman" w:hAnsi="Times New Roman" w:eastAsia="宋体" w:cs="Times New Roman"/>
                      <w:szCs w:val="21"/>
                    </w:rPr>
                  </w:pPr>
                  <w:r>
                    <w:rPr>
                      <w:rFonts w:ascii="Times New Roman" w:hAnsi="Times New Roman" w:eastAsia="宋体" w:cs="Times New Roman"/>
                      <w:kern w:val="0"/>
                      <w:szCs w:val="21"/>
                    </w:rPr>
                    <w:t>成品贮存区装卸废气</w:t>
                  </w:r>
                </w:p>
              </w:tc>
              <w:tc>
                <w:tcPr>
                  <w:tcW w:w="840" w:type="pct"/>
                  <w:gridSpan w:val="2"/>
                  <w:vAlign w:val="center"/>
                </w:tcPr>
                <w:p>
                  <w:pPr>
                    <w:jc w:val="center"/>
                    <w:rPr>
                      <w:rFonts w:ascii="Times New Roman" w:hAnsi="Times New Roman" w:eastAsia="宋体" w:cs="Times New Roman"/>
                      <w:szCs w:val="21"/>
                    </w:rPr>
                  </w:pPr>
                  <w:r>
                    <w:rPr>
                      <w:rFonts w:ascii="Times New Roman" w:hAnsi="Times New Roman" w:eastAsia="宋体" w:cs="Times New Roman"/>
                      <w:szCs w:val="21"/>
                    </w:rPr>
                    <w:t>0.592</w:t>
                  </w:r>
                </w:p>
              </w:tc>
              <w:tc>
                <w:tcPr>
                  <w:tcW w:w="587" w:type="pct"/>
                  <w:vAlign w:val="center"/>
                </w:tcPr>
                <w:p>
                  <w:pPr>
                    <w:snapToGrid w:val="0"/>
                    <w:jc w:val="center"/>
                    <w:rPr>
                      <w:rFonts w:ascii="Times New Roman" w:hAnsi="Times New Roman" w:eastAsia="宋体" w:cs="Times New Roman"/>
                      <w:szCs w:val="21"/>
                    </w:rPr>
                  </w:pPr>
                  <w:r>
                    <w:rPr>
                      <w:rFonts w:ascii="Times New Roman" w:hAnsi="Times New Roman" w:eastAsia="宋体" w:cs="Times New Roman"/>
                      <w:szCs w:val="21"/>
                    </w:rPr>
                    <w:t>无组织</w:t>
                  </w:r>
                </w:p>
              </w:tc>
              <w:tc>
                <w:tcPr>
                  <w:tcW w:w="2601" w:type="pct"/>
                  <w:vAlign w:val="center"/>
                </w:tcPr>
                <w:p>
                  <w:pPr>
                    <w:jc w:val="center"/>
                    <w:rPr>
                      <w:rFonts w:ascii="Times New Roman" w:hAnsi="Times New Roman" w:eastAsia="宋体" w:cs="Times New Roman"/>
                      <w:szCs w:val="21"/>
                    </w:rPr>
                  </w:pPr>
                  <w:r>
                    <w:rPr>
                      <w:rFonts w:ascii="Times New Roman" w:hAnsi="Times New Roman" w:eastAsia="宋体" w:cs="Times New Roman"/>
                      <w:bCs/>
                      <w:kern w:val="0"/>
                      <w:szCs w:val="21"/>
                    </w:rPr>
                    <w:t>《大气污染物综合排放标准》（GB16297-1996）中厂界无组织标准</w:t>
                  </w:r>
                </w:p>
              </w:tc>
              <w:tc>
                <w:tcPr>
                  <w:tcW w:w="464"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来自环评报告</w:t>
                  </w:r>
                </w:p>
              </w:tc>
            </w:tr>
          </w:tbl>
          <w:p>
            <w:pPr>
              <w:pStyle w:val="115"/>
              <w:spacing w:line="360" w:lineRule="auto"/>
              <w:ind w:firstLine="480" w:firstLineChars="200"/>
              <w:rPr>
                <w:rFonts w:ascii="Times New Roman" w:hAnsi="Times New Roman" w:cs="Times New Roman"/>
                <w:bCs/>
                <w:sz w:val="24"/>
                <w:szCs w:val="24"/>
              </w:rPr>
            </w:pPr>
            <w:r>
              <w:rPr>
                <w:rFonts w:hint="eastAsia" w:ascii="Times New Roman" w:hAnsi="Times New Roman" w:cs="Times New Roman"/>
                <w:bCs/>
                <w:sz w:val="24"/>
                <w:szCs w:val="24"/>
              </w:rPr>
              <w:t>（2）废水</w:t>
            </w:r>
          </w:p>
          <w:p>
            <w:pPr>
              <w:pStyle w:val="115"/>
              <w:spacing w:line="360" w:lineRule="auto"/>
              <w:ind w:firstLine="480" w:firstLineChars="200"/>
              <w:rPr>
                <w:bCs/>
                <w:sz w:val="24"/>
              </w:rPr>
            </w:pPr>
            <w:r>
              <w:rPr>
                <w:rFonts w:hint="eastAsia"/>
                <w:bCs/>
                <w:sz w:val="24"/>
              </w:rPr>
              <w:t>现有工程生产废水主要为各压滤机压滤液、筛分机脱水，全部经管道送入回用水池沉淀后回用到生产中，全厂生产废水不外排。生活污水拉运至园区污水处理厂。</w:t>
            </w:r>
          </w:p>
          <w:p>
            <w:pPr>
              <w:pStyle w:val="115"/>
              <w:spacing w:line="360" w:lineRule="auto"/>
              <w:ind w:firstLine="480" w:firstLineChars="200"/>
              <w:rPr>
                <w:rFonts w:ascii="Times New Roman" w:hAnsi="Times New Roman"/>
                <w:bCs/>
                <w:sz w:val="24"/>
              </w:rPr>
            </w:pPr>
            <w:r>
              <w:rPr>
                <w:rFonts w:hint="eastAsia"/>
                <w:bCs/>
                <w:sz w:val="24"/>
              </w:rPr>
              <w:t>根据验收监测报告，</w:t>
            </w:r>
            <w:r>
              <w:rPr>
                <w:rFonts w:hint="eastAsia" w:ascii="Times New Roman" w:hAnsi="Times New Roman"/>
                <w:bCs/>
                <w:sz w:val="24"/>
              </w:rPr>
              <w:t>pH在7.2~7.5之间、SS最大值241mg/L、CODcr最大值370mg/L、BOD</w:t>
            </w:r>
            <w:r>
              <w:rPr>
                <w:rFonts w:hint="eastAsia" w:ascii="Times New Roman" w:hAnsi="Times New Roman"/>
                <w:bCs/>
                <w:sz w:val="24"/>
                <w:vertAlign w:val="subscript"/>
              </w:rPr>
              <w:t>5</w:t>
            </w:r>
            <w:r>
              <w:rPr>
                <w:rFonts w:hint="eastAsia" w:ascii="Times New Roman" w:hAnsi="Times New Roman"/>
                <w:bCs/>
                <w:sz w:val="24"/>
              </w:rPr>
              <w:t>最大值123mg/L、NH</w:t>
            </w:r>
            <w:r>
              <w:rPr>
                <w:rFonts w:hint="eastAsia" w:ascii="Times New Roman" w:hAnsi="Times New Roman"/>
                <w:bCs/>
                <w:sz w:val="24"/>
                <w:vertAlign w:val="subscript"/>
              </w:rPr>
              <w:t>3</w:t>
            </w:r>
            <w:r>
              <w:rPr>
                <w:rFonts w:hint="eastAsia" w:ascii="Times New Roman" w:hAnsi="Times New Roman"/>
                <w:bCs/>
                <w:sz w:val="24"/>
              </w:rPr>
              <w:t>-N最大值81.4mg/L，各污染物浓度均符合《污水综合排放标准》（GB 8978-1996）三级标准。</w:t>
            </w:r>
          </w:p>
          <w:p>
            <w:pPr>
              <w:pStyle w:val="115"/>
              <w:spacing w:line="360" w:lineRule="auto"/>
              <w:ind w:firstLine="480" w:firstLineChars="200"/>
              <w:rPr>
                <w:bCs/>
                <w:sz w:val="24"/>
              </w:rPr>
            </w:pPr>
            <w:r>
              <w:rPr>
                <w:rFonts w:hint="eastAsia"/>
                <w:bCs/>
                <w:sz w:val="24"/>
              </w:rPr>
              <w:t>污水排放情况见下表。</w:t>
            </w:r>
          </w:p>
          <w:p>
            <w:pPr>
              <w:jc w:val="center"/>
              <w:rPr>
                <w:rFonts w:ascii="Times New Roman" w:hAnsi="Times New Roman" w:eastAsia="宋体" w:cs="Times New Roman"/>
                <w:b/>
                <w:szCs w:val="21"/>
              </w:rPr>
            </w:pPr>
            <w:r>
              <w:rPr>
                <w:rFonts w:ascii="Times New Roman" w:hAnsi="Times New Roman" w:eastAsia="宋体" w:cs="Times New Roman"/>
                <w:b/>
                <w:szCs w:val="21"/>
              </w:rPr>
              <w:t>表2-18 现有工程废水排放量表</w:t>
            </w:r>
          </w:p>
          <w:tbl>
            <w:tblPr>
              <w:tblStyle w:val="2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954"/>
              <w:gridCol w:w="1586"/>
              <w:gridCol w:w="1990"/>
              <w:gridCol w:w="410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53"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项目</w:t>
                  </w:r>
                </w:p>
              </w:tc>
              <w:tc>
                <w:tcPr>
                  <w:tcW w:w="919"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排放量</w:t>
                  </w:r>
                </w:p>
              </w:tc>
              <w:tc>
                <w:tcPr>
                  <w:tcW w:w="1153"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排放方式</w:t>
                  </w:r>
                </w:p>
              </w:tc>
              <w:tc>
                <w:tcPr>
                  <w:tcW w:w="2375"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53"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生产废水</w:t>
                  </w:r>
                </w:p>
              </w:tc>
              <w:tc>
                <w:tcPr>
                  <w:tcW w:w="919"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w:t>
                  </w:r>
                </w:p>
              </w:tc>
              <w:tc>
                <w:tcPr>
                  <w:tcW w:w="1153"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全部回用不外排</w:t>
                  </w:r>
                </w:p>
              </w:tc>
              <w:tc>
                <w:tcPr>
                  <w:tcW w:w="2375"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553"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生活污水</w:t>
                  </w:r>
                </w:p>
              </w:tc>
              <w:tc>
                <w:tcPr>
                  <w:tcW w:w="919"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140m</w:t>
                  </w:r>
                  <w:r>
                    <w:rPr>
                      <w:rFonts w:ascii="Times New Roman" w:hAnsi="Times New Roman" w:eastAsia="宋体" w:cs="Times New Roman"/>
                      <w:szCs w:val="21"/>
                      <w:vertAlign w:val="superscript"/>
                    </w:rPr>
                    <w:t>3</w:t>
                  </w:r>
                  <w:r>
                    <w:rPr>
                      <w:rFonts w:ascii="Times New Roman" w:hAnsi="Times New Roman" w:eastAsia="宋体" w:cs="Times New Roman"/>
                      <w:szCs w:val="21"/>
                    </w:rPr>
                    <w:t>/a</w:t>
                  </w:r>
                </w:p>
              </w:tc>
              <w:tc>
                <w:tcPr>
                  <w:tcW w:w="1153" w:type="pct"/>
                  <w:vAlign w:val="center"/>
                </w:tcPr>
                <w:p>
                  <w:pPr>
                    <w:snapToGrid w:val="0"/>
                    <w:jc w:val="center"/>
                    <w:rPr>
                      <w:rFonts w:ascii="Times New Roman" w:hAnsi="Times New Roman" w:eastAsia="宋体" w:cs="Times New Roman"/>
                      <w:szCs w:val="21"/>
                    </w:rPr>
                  </w:pPr>
                  <w:r>
                    <w:rPr>
                      <w:rFonts w:ascii="Times New Roman" w:hAnsi="Times New Roman" w:eastAsia="宋体" w:cs="Times New Roman"/>
                      <w:szCs w:val="21"/>
                    </w:rPr>
                    <w:t>间接排放</w:t>
                  </w:r>
                </w:p>
              </w:tc>
              <w:tc>
                <w:tcPr>
                  <w:tcW w:w="2375"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《污水综合排放标准》</w:t>
                  </w:r>
                  <w:r>
                    <w:rPr>
                      <w:rFonts w:ascii="Times New Roman" w:hAnsi="Times New Roman" w:eastAsia="宋体" w:cs="Times New Roman"/>
                      <w:color w:val="FF0000"/>
                      <w:szCs w:val="21"/>
                    </w:rPr>
                    <w:t>（GB8978-1996）</w:t>
                  </w:r>
                  <w:r>
                    <w:rPr>
                      <w:rFonts w:ascii="Times New Roman" w:hAnsi="Times New Roman" w:eastAsia="宋体" w:cs="Times New Roman"/>
                      <w:szCs w:val="21"/>
                    </w:rPr>
                    <w:t>三级标准</w:t>
                  </w:r>
                </w:p>
              </w:tc>
            </w:tr>
          </w:tbl>
          <w:p>
            <w:pPr>
              <w:pStyle w:val="115"/>
              <w:spacing w:line="360" w:lineRule="auto"/>
              <w:ind w:firstLine="480" w:firstLineChars="200"/>
              <w:rPr>
                <w:rFonts w:ascii="Times New Roman" w:hAnsi="Times New Roman" w:cs="Times New Roman"/>
                <w:bCs/>
                <w:sz w:val="24"/>
                <w:szCs w:val="24"/>
              </w:rPr>
            </w:pPr>
            <w:r>
              <w:rPr>
                <w:rFonts w:hint="eastAsia" w:ascii="Times New Roman" w:hAnsi="Times New Roman" w:cs="Times New Roman"/>
                <w:bCs/>
                <w:sz w:val="24"/>
                <w:szCs w:val="24"/>
              </w:rPr>
              <w:t>（3）固废</w:t>
            </w:r>
          </w:p>
          <w:p>
            <w:pPr>
              <w:pStyle w:val="115"/>
              <w:spacing w:line="360" w:lineRule="auto"/>
              <w:ind w:firstLine="480" w:firstLineChars="200"/>
              <w:rPr>
                <w:rFonts w:ascii="Times New Roman" w:hAnsi="Times New Roman" w:cs="Times New Roman"/>
                <w:bCs/>
                <w:sz w:val="24"/>
                <w:szCs w:val="24"/>
              </w:rPr>
            </w:pPr>
            <w:r>
              <w:rPr>
                <w:rFonts w:hint="eastAsia" w:ascii="Times New Roman" w:hAnsi="Times New Roman" w:cs="Times New Roman"/>
                <w:bCs/>
                <w:sz w:val="24"/>
                <w:szCs w:val="24"/>
              </w:rPr>
              <w:t>根据验收监测报告和环境影响报告表，现有工程固体废物产生及处置情况见下表。</w:t>
            </w:r>
          </w:p>
          <w:p>
            <w:pPr>
              <w:pStyle w:val="115"/>
              <w:jc w:val="center"/>
              <w:rPr>
                <w:rFonts w:ascii="Times New Roman" w:hAnsi="Times New Roman"/>
              </w:rPr>
            </w:pPr>
            <w:r>
              <w:rPr>
                <w:rFonts w:hint="eastAsia" w:ascii="Times New Roman" w:hAnsi="Times New Roman"/>
                <w:b/>
              </w:rPr>
              <w:t>表</w:t>
            </w:r>
            <w:r>
              <w:rPr>
                <w:rFonts w:ascii="Times New Roman" w:hAnsi="Times New Roman"/>
                <w:b/>
              </w:rPr>
              <w:t xml:space="preserve">2-19 </w:t>
            </w:r>
            <w:r>
              <w:rPr>
                <w:rFonts w:hint="eastAsia" w:ascii="Times New Roman" w:hAnsi="Times New Roman"/>
                <w:b/>
              </w:rPr>
              <w:t>固废处理一览表</w:t>
            </w:r>
          </w:p>
          <w:tbl>
            <w:tblPr>
              <w:tblStyle w:val="2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465"/>
              <w:gridCol w:w="1538"/>
              <w:gridCol w:w="1386"/>
              <w:gridCol w:w="42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29" w:hRule="atLeast"/>
              </w:trPr>
              <w:tc>
                <w:tcPr>
                  <w:tcW w:w="849" w:type="pct"/>
                  <w:tcBorders>
                    <w:top w:val="single" w:color="auto" w:sz="12" w:space="0"/>
                    <w:left w:val="nil"/>
                    <w:bottom w:val="single" w:color="auto" w:sz="4" w:space="0"/>
                    <w:right w:val="single" w:color="auto" w:sz="4" w:space="0"/>
                  </w:tcBorders>
                  <w:vAlign w:val="center"/>
                </w:tcPr>
                <w:p>
                  <w:pPr>
                    <w:pStyle w:val="115"/>
                    <w:jc w:val="center"/>
                    <w:rPr>
                      <w:rFonts w:ascii="Times New Roman" w:hAnsi="Times New Roman" w:cs="Times New Roman"/>
                    </w:rPr>
                  </w:pPr>
                  <w:r>
                    <w:rPr>
                      <w:rFonts w:ascii="Times New Roman" w:hAnsi="Times New Roman" w:cs="Times New Roman"/>
                    </w:rPr>
                    <w:t>名称</w:t>
                  </w:r>
                </w:p>
              </w:tc>
              <w:tc>
                <w:tcPr>
                  <w:tcW w:w="891" w:type="pct"/>
                  <w:tcBorders>
                    <w:top w:val="single" w:color="auto" w:sz="12" w:space="0"/>
                    <w:left w:val="single" w:color="auto" w:sz="4" w:space="0"/>
                    <w:bottom w:val="single" w:color="auto" w:sz="4" w:space="0"/>
                    <w:right w:val="single" w:color="auto" w:sz="4" w:space="0"/>
                  </w:tcBorders>
                  <w:vAlign w:val="center"/>
                </w:tcPr>
                <w:p>
                  <w:pPr>
                    <w:pStyle w:val="115"/>
                    <w:jc w:val="center"/>
                    <w:rPr>
                      <w:rFonts w:ascii="Times New Roman" w:hAnsi="Times New Roman" w:cs="Times New Roman"/>
                    </w:rPr>
                  </w:pPr>
                  <w:r>
                    <w:rPr>
                      <w:rFonts w:ascii="Times New Roman" w:hAnsi="Times New Roman" w:cs="Times New Roman"/>
                    </w:rPr>
                    <w:t>产生量（t/a）</w:t>
                  </w:r>
                </w:p>
              </w:tc>
              <w:tc>
                <w:tcPr>
                  <w:tcW w:w="803" w:type="pct"/>
                  <w:tcBorders>
                    <w:top w:val="single" w:color="auto" w:sz="12" w:space="0"/>
                    <w:left w:val="single" w:color="auto" w:sz="4" w:space="0"/>
                    <w:bottom w:val="single" w:color="auto" w:sz="4" w:space="0"/>
                    <w:right w:val="single" w:color="auto" w:sz="4" w:space="0"/>
                  </w:tcBorders>
                  <w:vAlign w:val="center"/>
                </w:tcPr>
                <w:p>
                  <w:pPr>
                    <w:pStyle w:val="115"/>
                    <w:jc w:val="center"/>
                    <w:rPr>
                      <w:rFonts w:ascii="Times New Roman" w:hAnsi="Times New Roman" w:cs="Times New Roman"/>
                    </w:rPr>
                  </w:pPr>
                  <w:r>
                    <w:rPr>
                      <w:rFonts w:ascii="Times New Roman" w:hAnsi="Times New Roman" w:cs="Times New Roman"/>
                    </w:rPr>
                    <w:t>类别</w:t>
                  </w:r>
                </w:p>
              </w:tc>
              <w:tc>
                <w:tcPr>
                  <w:tcW w:w="2457" w:type="pct"/>
                  <w:tcBorders>
                    <w:top w:val="single" w:color="auto" w:sz="12" w:space="0"/>
                    <w:left w:val="single" w:color="auto" w:sz="4" w:space="0"/>
                    <w:bottom w:val="single" w:color="auto" w:sz="4" w:space="0"/>
                    <w:right w:val="nil"/>
                  </w:tcBorders>
                  <w:vAlign w:val="center"/>
                </w:tcPr>
                <w:p>
                  <w:pPr>
                    <w:pStyle w:val="115"/>
                    <w:jc w:val="center"/>
                    <w:rPr>
                      <w:rFonts w:ascii="Times New Roman" w:hAnsi="Times New Roman" w:cs="Times New Roman"/>
                    </w:rPr>
                  </w:pPr>
                  <w:r>
                    <w:rPr>
                      <w:rFonts w:ascii="Times New Roman" w:hAnsi="Times New Roman" w:cs="Times New Roman"/>
                    </w:rPr>
                    <w:t>处置方法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60" w:hRule="atLeast"/>
              </w:trPr>
              <w:tc>
                <w:tcPr>
                  <w:tcW w:w="849" w:type="pct"/>
                  <w:tcBorders>
                    <w:top w:val="single" w:color="auto" w:sz="4" w:space="0"/>
                    <w:left w:val="nil"/>
                    <w:bottom w:val="single" w:color="auto" w:sz="4" w:space="0"/>
                    <w:right w:val="single" w:color="auto" w:sz="4" w:space="0"/>
                  </w:tcBorders>
                  <w:vAlign w:val="center"/>
                </w:tcPr>
                <w:p>
                  <w:pPr>
                    <w:pStyle w:val="115"/>
                    <w:jc w:val="center"/>
                    <w:rPr>
                      <w:rFonts w:ascii="Times New Roman" w:hAnsi="Times New Roman" w:cs="Times New Roman"/>
                      <w:bCs/>
                    </w:rPr>
                  </w:pPr>
                  <w:r>
                    <w:rPr>
                      <w:rFonts w:ascii="Times New Roman" w:hAnsi="Times New Roman" w:cs="Times New Roman"/>
                      <w:bCs/>
                    </w:rPr>
                    <w:t>细泥、回用水池底泥</w:t>
                  </w:r>
                </w:p>
              </w:tc>
              <w:tc>
                <w:tcPr>
                  <w:tcW w:w="891" w:type="pct"/>
                  <w:tcBorders>
                    <w:top w:val="single" w:color="auto" w:sz="4" w:space="0"/>
                    <w:left w:val="single" w:color="auto" w:sz="4" w:space="0"/>
                    <w:bottom w:val="single" w:color="auto" w:sz="4" w:space="0"/>
                    <w:right w:val="single" w:color="auto" w:sz="4" w:space="0"/>
                  </w:tcBorders>
                  <w:vAlign w:val="center"/>
                </w:tcPr>
                <w:p>
                  <w:pPr>
                    <w:pStyle w:val="115"/>
                    <w:jc w:val="center"/>
                    <w:rPr>
                      <w:rFonts w:ascii="Times New Roman" w:hAnsi="Times New Roman" w:cs="Times New Roman"/>
                      <w:bCs/>
                    </w:rPr>
                  </w:pPr>
                  <w:r>
                    <w:rPr>
                      <w:rFonts w:ascii="Times New Roman" w:hAnsi="Times New Roman" w:cs="Times New Roman"/>
                      <w:bCs/>
                    </w:rPr>
                    <w:t>6.46</w:t>
                  </w:r>
                </w:p>
              </w:tc>
              <w:tc>
                <w:tcPr>
                  <w:tcW w:w="803" w:type="pct"/>
                  <w:tcBorders>
                    <w:top w:val="single" w:color="auto" w:sz="4" w:space="0"/>
                    <w:left w:val="single" w:color="auto" w:sz="4" w:space="0"/>
                    <w:bottom w:val="single" w:color="auto" w:sz="4" w:space="0"/>
                    <w:right w:val="single" w:color="auto" w:sz="4" w:space="0"/>
                  </w:tcBorders>
                  <w:vAlign w:val="center"/>
                </w:tcPr>
                <w:p>
                  <w:pPr>
                    <w:pStyle w:val="115"/>
                    <w:jc w:val="center"/>
                    <w:rPr>
                      <w:rFonts w:ascii="Times New Roman" w:hAnsi="Times New Roman" w:cs="Times New Roman"/>
                      <w:bCs/>
                    </w:rPr>
                  </w:pPr>
                  <w:r>
                    <w:rPr>
                      <w:rFonts w:ascii="Times New Roman" w:hAnsi="Times New Roman" w:cs="Times New Roman"/>
                      <w:bCs/>
                    </w:rPr>
                    <w:t>一般固废</w:t>
                  </w:r>
                </w:p>
              </w:tc>
              <w:tc>
                <w:tcPr>
                  <w:tcW w:w="2457" w:type="pct"/>
                  <w:tcBorders>
                    <w:top w:val="single" w:color="auto" w:sz="4" w:space="0"/>
                    <w:left w:val="single" w:color="auto" w:sz="4" w:space="0"/>
                    <w:bottom w:val="single" w:color="auto" w:sz="4" w:space="0"/>
                    <w:right w:val="nil"/>
                  </w:tcBorders>
                  <w:vAlign w:val="center"/>
                </w:tcPr>
                <w:p>
                  <w:pPr>
                    <w:pStyle w:val="115"/>
                    <w:jc w:val="center"/>
                    <w:rPr>
                      <w:rFonts w:ascii="Times New Roman" w:hAnsi="Times New Roman" w:cs="Times New Roman"/>
                      <w:bCs/>
                    </w:rPr>
                  </w:pPr>
                  <w:r>
                    <w:rPr>
                      <w:rFonts w:ascii="Times New Roman" w:hAnsi="Times New Roman" w:cs="Times New Roman"/>
                      <w:bCs/>
                    </w:rPr>
                    <w:t>送往内蒙古亿利冀东水泥有限责任公司、内蒙古宇翼环保科技开发有限责任公司处置，已签合同。回用水池底泥一年清理一次，送细泥浓缩池浓缩后与细泥一起处置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138" w:hRule="atLeast"/>
              </w:trPr>
              <w:tc>
                <w:tcPr>
                  <w:tcW w:w="849" w:type="pct"/>
                  <w:tcBorders>
                    <w:top w:val="single" w:color="auto" w:sz="4" w:space="0"/>
                    <w:left w:val="nil"/>
                    <w:bottom w:val="single" w:color="auto" w:sz="4" w:space="0"/>
                    <w:right w:val="single" w:color="auto" w:sz="4" w:space="0"/>
                  </w:tcBorders>
                  <w:vAlign w:val="center"/>
                </w:tcPr>
                <w:p>
                  <w:pPr>
                    <w:pStyle w:val="115"/>
                    <w:jc w:val="center"/>
                    <w:rPr>
                      <w:rFonts w:ascii="Times New Roman" w:hAnsi="Times New Roman" w:cs="Times New Roman"/>
                      <w:bCs/>
                    </w:rPr>
                  </w:pPr>
                  <w:r>
                    <w:rPr>
                      <w:rFonts w:ascii="Times New Roman" w:hAnsi="Times New Roman" w:cs="Times New Roman"/>
                      <w:bCs/>
                    </w:rPr>
                    <w:t>废机油</w:t>
                  </w:r>
                </w:p>
              </w:tc>
              <w:tc>
                <w:tcPr>
                  <w:tcW w:w="891" w:type="pct"/>
                  <w:tcBorders>
                    <w:top w:val="single" w:color="auto" w:sz="4" w:space="0"/>
                    <w:left w:val="single" w:color="auto" w:sz="4" w:space="0"/>
                    <w:bottom w:val="single" w:color="auto" w:sz="4" w:space="0"/>
                    <w:right w:val="single" w:color="auto" w:sz="4" w:space="0"/>
                  </w:tcBorders>
                  <w:vAlign w:val="center"/>
                </w:tcPr>
                <w:p>
                  <w:pPr>
                    <w:pStyle w:val="115"/>
                    <w:jc w:val="center"/>
                    <w:rPr>
                      <w:rFonts w:ascii="Times New Roman" w:hAnsi="Times New Roman" w:cs="Times New Roman"/>
                      <w:bCs/>
                    </w:rPr>
                  </w:pPr>
                  <w:r>
                    <w:rPr>
                      <w:rFonts w:ascii="Times New Roman" w:hAnsi="Times New Roman" w:cs="Times New Roman"/>
                      <w:bCs/>
                    </w:rPr>
                    <w:t>2</w:t>
                  </w:r>
                </w:p>
              </w:tc>
              <w:tc>
                <w:tcPr>
                  <w:tcW w:w="803" w:type="pct"/>
                  <w:tcBorders>
                    <w:top w:val="single" w:color="auto" w:sz="4" w:space="0"/>
                    <w:left w:val="single" w:color="auto" w:sz="4" w:space="0"/>
                    <w:bottom w:val="single" w:color="auto" w:sz="4" w:space="0"/>
                    <w:right w:val="single" w:color="auto" w:sz="4" w:space="0"/>
                  </w:tcBorders>
                  <w:vAlign w:val="center"/>
                </w:tcPr>
                <w:p>
                  <w:pPr>
                    <w:pStyle w:val="115"/>
                    <w:jc w:val="center"/>
                    <w:rPr>
                      <w:rFonts w:ascii="Times New Roman" w:hAnsi="Times New Roman" w:cs="Times New Roman"/>
                      <w:bCs/>
                    </w:rPr>
                  </w:pPr>
                  <w:r>
                    <w:rPr>
                      <w:rFonts w:ascii="Times New Roman" w:hAnsi="Times New Roman" w:cs="Times New Roman"/>
                      <w:bCs/>
                    </w:rPr>
                    <w:t>危险废物</w:t>
                  </w:r>
                </w:p>
              </w:tc>
              <w:tc>
                <w:tcPr>
                  <w:tcW w:w="2457" w:type="pct"/>
                  <w:tcBorders>
                    <w:top w:val="single" w:color="auto" w:sz="4" w:space="0"/>
                    <w:left w:val="single" w:color="auto" w:sz="4" w:space="0"/>
                    <w:bottom w:val="single" w:color="auto" w:sz="4" w:space="0"/>
                    <w:right w:val="nil"/>
                  </w:tcBorders>
                  <w:vAlign w:val="center"/>
                </w:tcPr>
                <w:p>
                  <w:pPr>
                    <w:pStyle w:val="115"/>
                    <w:jc w:val="center"/>
                    <w:rPr>
                      <w:rFonts w:ascii="Times New Roman" w:hAnsi="Times New Roman" w:cs="Times New Roman"/>
                      <w:bCs/>
                    </w:rPr>
                  </w:pPr>
                  <w:r>
                    <w:rPr>
                      <w:rFonts w:ascii="Times New Roman" w:hAnsi="Times New Roman" w:cs="Times New Roman"/>
                      <w:bCs/>
                    </w:rPr>
                    <w:t>监测期未产生，厂区内已建成一座危废暂存间，暂存于危废暂存间后定期交由有资质单位处理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72" w:hRule="atLeast"/>
              </w:trPr>
              <w:tc>
                <w:tcPr>
                  <w:tcW w:w="849" w:type="pct"/>
                  <w:tcBorders>
                    <w:top w:val="single" w:color="auto" w:sz="4" w:space="0"/>
                    <w:left w:val="nil"/>
                    <w:bottom w:val="single" w:color="auto" w:sz="4" w:space="0"/>
                    <w:right w:val="single" w:color="auto" w:sz="4" w:space="0"/>
                  </w:tcBorders>
                  <w:vAlign w:val="center"/>
                </w:tcPr>
                <w:p>
                  <w:pPr>
                    <w:pStyle w:val="115"/>
                    <w:jc w:val="center"/>
                    <w:rPr>
                      <w:rFonts w:ascii="Times New Roman" w:hAnsi="Times New Roman" w:cs="Times New Roman"/>
                      <w:bCs/>
                    </w:rPr>
                  </w:pPr>
                  <w:r>
                    <w:rPr>
                      <w:rFonts w:ascii="Times New Roman" w:hAnsi="Times New Roman" w:cs="Times New Roman"/>
                      <w:bCs/>
                    </w:rPr>
                    <w:t>废机油桶</w:t>
                  </w:r>
                </w:p>
              </w:tc>
              <w:tc>
                <w:tcPr>
                  <w:tcW w:w="891" w:type="pct"/>
                  <w:tcBorders>
                    <w:top w:val="single" w:color="auto" w:sz="4" w:space="0"/>
                    <w:left w:val="single" w:color="auto" w:sz="4" w:space="0"/>
                    <w:bottom w:val="single" w:color="auto" w:sz="4" w:space="0"/>
                    <w:right w:val="single" w:color="auto" w:sz="4" w:space="0"/>
                  </w:tcBorders>
                  <w:vAlign w:val="center"/>
                </w:tcPr>
                <w:p>
                  <w:pPr>
                    <w:pStyle w:val="115"/>
                    <w:jc w:val="center"/>
                    <w:rPr>
                      <w:rFonts w:ascii="Times New Roman" w:hAnsi="Times New Roman" w:cs="Times New Roman"/>
                      <w:bCs/>
                    </w:rPr>
                  </w:pPr>
                  <w:r>
                    <w:rPr>
                      <w:rFonts w:ascii="Times New Roman" w:hAnsi="Times New Roman" w:cs="Times New Roman"/>
                      <w:bCs/>
                    </w:rPr>
                    <w:t>0.1</w:t>
                  </w:r>
                </w:p>
              </w:tc>
              <w:tc>
                <w:tcPr>
                  <w:tcW w:w="803" w:type="pct"/>
                  <w:tcBorders>
                    <w:top w:val="single" w:color="auto" w:sz="4" w:space="0"/>
                    <w:left w:val="single" w:color="auto" w:sz="4" w:space="0"/>
                    <w:bottom w:val="single" w:color="auto" w:sz="4" w:space="0"/>
                    <w:right w:val="single" w:color="auto" w:sz="4" w:space="0"/>
                  </w:tcBorders>
                  <w:vAlign w:val="center"/>
                </w:tcPr>
                <w:p>
                  <w:pPr>
                    <w:pStyle w:val="115"/>
                    <w:jc w:val="center"/>
                    <w:rPr>
                      <w:rFonts w:ascii="Times New Roman" w:hAnsi="Times New Roman" w:cs="Times New Roman"/>
                      <w:bCs/>
                    </w:rPr>
                  </w:pPr>
                  <w:r>
                    <w:rPr>
                      <w:rFonts w:ascii="Times New Roman" w:hAnsi="Times New Roman" w:cs="Times New Roman"/>
                      <w:bCs/>
                    </w:rPr>
                    <w:t>危险废物</w:t>
                  </w:r>
                </w:p>
              </w:tc>
              <w:tc>
                <w:tcPr>
                  <w:tcW w:w="2457" w:type="pct"/>
                  <w:tcBorders>
                    <w:top w:val="single" w:color="auto" w:sz="4" w:space="0"/>
                    <w:left w:val="single" w:color="auto" w:sz="4" w:space="0"/>
                    <w:bottom w:val="single" w:color="auto" w:sz="4" w:space="0"/>
                    <w:right w:val="nil"/>
                  </w:tcBorders>
                  <w:vAlign w:val="center"/>
                </w:tcPr>
                <w:p>
                  <w:pPr>
                    <w:pStyle w:val="115"/>
                    <w:jc w:val="center"/>
                    <w:rPr>
                      <w:rFonts w:ascii="Times New Roman" w:hAnsi="Times New Roman" w:cs="Times New Roman"/>
                      <w:bCs/>
                    </w:rPr>
                  </w:pPr>
                  <w:r>
                    <w:rPr>
                      <w:rFonts w:ascii="Times New Roman" w:hAnsi="Times New Roman" w:cs="Times New Roman"/>
                      <w:bCs/>
                    </w:rPr>
                    <w:t>监测期未产生，厂区内已建成一座危废暂存间，暂存于危废暂存间后定期交由有资质单位处理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05" w:hRule="atLeast"/>
              </w:trPr>
              <w:tc>
                <w:tcPr>
                  <w:tcW w:w="849" w:type="pct"/>
                  <w:tcBorders>
                    <w:top w:val="single" w:color="auto" w:sz="4" w:space="0"/>
                    <w:left w:val="nil"/>
                    <w:bottom w:val="single" w:color="auto" w:sz="4" w:space="0"/>
                    <w:right w:val="single" w:color="auto" w:sz="4" w:space="0"/>
                  </w:tcBorders>
                  <w:vAlign w:val="center"/>
                </w:tcPr>
                <w:p>
                  <w:pPr>
                    <w:pStyle w:val="115"/>
                    <w:jc w:val="center"/>
                    <w:rPr>
                      <w:rFonts w:ascii="Times New Roman" w:hAnsi="Times New Roman" w:cs="Times New Roman"/>
                      <w:bCs/>
                    </w:rPr>
                  </w:pPr>
                  <w:r>
                    <w:rPr>
                      <w:rFonts w:ascii="Times New Roman" w:hAnsi="Times New Roman" w:cs="Times New Roman"/>
                      <w:bCs/>
                    </w:rPr>
                    <w:t>生活垃圾</w:t>
                  </w:r>
                </w:p>
              </w:tc>
              <w:tc>
                <w:tcPr>
                  <w:tcW w:w="891" w:type="pct"/>
                  <w:tcBorders>
                    <w:top w:val="single" w:color="auto" w:sz="4" w:space="0"/>
                    <w:left w:val="single" w:color="auto" w:sz="4" w:space="0"/>
                    <w:bottom w:val="single" w:color="auto" w:sz="4" w:space="0"/>
                    <w:right w:val="single" w:color="auto" w:sz="4" w:space="0"/>
                  </w:tcBorders>
                  <w:vAlign w:val="center"/>
                </w:tcPr>
                <w:p>
                  <w:pPr>
                    <w:pStyle w:val="115"/>
                    <w:jc w:val="center"/>
                    <w:rPr>
                      <w:rFonts w:ascii="Times New Roman" w:hAnsi="Times New Roman" w:cs="Times New Roman"/>
                      <w:bCs/>
                    </w:rPr>
                  </w:pPr>
                  <w:r>
                    <w:rPr>
                      <w:rFonts w:ascii="Times New Roman" w:hAnsi="Times New Roman" w:cs="Times New Roman"/>
                      <w:bCs/>
                    </w:rPr>
                    <w:t>2.9</w:t>
                  </w:r>
                </w:p>
              </w:tc>
              <w:tc>
                <w:tcPr>
                  <w:tcW w:w="803" w:type="pct"/>
                  <w:tcBorders>
                    <w:top w:val="single" w:color="auto" w:sz="4" w:space="0"/>
                    <w:left w:val="single" w:color="auto" w:sz="4" w:space="0"/>
                    <w:bottom w:val="single" w:color="auto" w:sz="4" w:space="0"/>
                    <w:right w:val="single" w:color="auto" w:sz="4" w:space="0"/>
                  </w:tcBorders>
                  <w:vAlign w:val="center"/>
                </w:tcPr>
                <w:p>
                  <w:pPr>
                    <w:pStyle w:val="115"/>
                    <w:jc w:val="center"/>
                    <w:rPr>
                      <w:rFonts w:ascii="Times New Roman" w:hAnsi="Times New Roman" w:cs="Times New Roman"/>
                      <w:bCs/>
                    </w:rPr>
                  </w:pPr>
                  <w:r>
                    <w:rPr>
                      <w:rFonts w:ascii="Times New Roman" w:hAnsi="Times New Roman" w:cs="Times New Roman"/>
                      <w:bCs/>
                    </w:rPr>
                    <w:t>生活垃圾</w:t>
                  </w:r>
                </w:p>
              </w:tc>
              <w:tc>
                <w:tcPr>
                  <w:tcW w:w="2457" w:type="pct"/>
                  <w:tcBorders>
                    <w:top w:val="single" w:color="auto" w:sz="4" w:space="0"/>
                    <w:left w:val="single" w:color="auto" w:sz="4" w:space="0"/>
                    <w:bottom w:val="single" w:color="auto" w:sz="4" w:space="0"/>
                    <w:right w:val="nil"/>
                  </w:tcBorders>
                  <w:vAlign w:val="center"/>
                </w:tcPr>
                <w:p>
                  <w:pPr>
                    <w:pStyle w:val="115"/>
                    <w:jc w:val="center"/>
                    <w:rPr>
                      <w:rFonts w:ascii="Times New Roman" w:hAnsi="Times New Roman" w:cs="Times New Roman"/>
                      <w:bCs/>
                    </w:rPr>
                  </w:pPr>
                  <w:r>
                    <w:rPr>
                      <w:rFonts w:ascii="Times New Roman" w:hAnsi="Times New Roman" w:cs="Times New Roman"/>
                      <w:bCs/>
                    </w:rPr>
                    <w:t>生活垃圾经收集后委托当地环卫部门统一清运处置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05" w:hRule="atLeast"/>
              </w:trPr>
              <w:tc>
                <w:tcPr>
                  <w:tcW w:w="849" w:type="pct"/>
                  <w:tcBorders>
                    <w:top w:val="single" w:color="auto" w:sz="4" w:space="0"/>
                    <w:left w:val="nil"/>
                    <w:bottom w:val="single" w:color="auto" w:sz="4" w:space="0"/>
                    <w:right w:val="single" w:color="auto" w:sz="4" w:space="0"/>
                  </w:tcBorders>
                  <w:vAlign w:val="center"/>
                </w:tcPr>
                <w:p>
                  <w:pPr>
                    <w:pStyle w:val="115"/>
                    <w:jc w:val="center"/>
                    <w:rPr>
                      <w:rFonts w:ascii="Times New Roman" w:hAnsi="Times New Roman" w:cs="Times New Roman"/>
                      <w:bCs/>
                    </w:rPr>
                  </w:pPr>
                  <w:r>
                    <w:rPr>
                      <w:rFonts w:ascii="Times New Roman" w:hAnsi="Times New Roman" w:cs="Times New Roman"/>
                      <w:bCs/>
                    </w:rPr>
                    <w:t>生物质燃烧除尘灰及炉渣</w:t>
                  </w:r>
                </w:p>
              </w:tc>
              <w:tc>
                <w:tcPr>
                  <w:tcW w:w="891" w:type="pct"/>
                  <w:tcBorders>
                    <w:top w:val="single" w:color="auto" w:sz="4" w:space="0"/>
                    <w:left w:val="single" w:color="auto" w:sz="4" w:space="0"/>
                    <w:bottom w:val="single" w:color="auto" w:sz="4" w:space="0"/>
                    <w:right w:val="single" w:color="auto" w:sz="4" w:space="0"/>
                  </w:tcBorders>
                  <w:vAlign w:val="center"/>
                </w:tcPr>
                <w:p>
                  <w:pPr>
                    <w:pStyle w:val="115"/>
                    <w:jc w:val="center"/>
                    <w:rPr>
                      <w:rFonts w:ascii="Times New Roman" w:hAnsi="Times New Roman" w:cs="Times New Roman"/>
                      <w:bCs/>
                    </w:rPr>
                  </w:pPr>
                  <w:r>
                    <w:rPr>
                      <w:rFonts w:ascii="Times New Roman" w:hAnsi="Times New Roman" w:cs="Times New Roman"/>
                      <w:bCs/>
                    </w:rPr>
                    <w:t>702.753</w:t>
                  </w:r>
                </w:p>
              </w:tc>
              <w:tc>
                <w:tcPr>
                  <w:tcW w:w="803" w:type="pct"/>
                  <w:tcBorders>
                    <w:top w:val="single" w:color="auto" w:sz="4" w:space="0"/>
                    <w:left w:val="single" w:color="auto" w:sz="4" w:space="0"/>
                    <w:bottom w:val="single" w:color="auto" w:sz="4" w:space="0"/>
                    <w:right w:val="single" w:color="auto" w:sz="4" w:space="0"/>
                  </w:tcBorders>
                </w:tcPr>
                <w:p>
                  <w:pPr>
                    <w:pStyle w:val="115"/>
                    <w:jc w:val="center"/>
                    <w:rPr>
                      <w:rFonts w:ascii="Times New Roman" w:hAnsi="Times New Roman" w:cs="Times New Roman"/>
                      <w:bCs/>
                    </w:rPr>
                  </w:pPr>
                  <w:r>
                    <w:rPr>
                      <w:rFonts w:ascii="Times New Roman" w:hAnsi="Times New Roman" w:cs="Times New Roman"/>
                      <w:bCs/>
                    </w:rPr>
                    <w:t>一般固废</w:t>
                  </w:r>
                </w:p>
              </w:tc>
              <w:tc>
                <w:tcPr>
                  <w:tcW w:w="2457" w:type="pct"/>
                  <w:tcBorders>
                    <w:top w:val="single" w:color="auto" w:sz="4" w:space="0"/>
                    <w:left w:val="single" w:color="auto" w:sz="4" w:space="0"/>
                    <w:bottom w:val="single" w:color="auto" w:sz="4" w:space="0"/>
                    <w:right w:val="nil"/>
                  </w:tcBorders>
                  <w:vAlign w:val="center"/>
                </w:tcPr>
                <w:p>
                  <w:pPr>
                    <w:pStyle w:val="115"/>
                    <w:jc w:val="center"/>
                    <w:rPr>
                      <w:rFonts w:ascii="Times New Roman" w:hAnsi="Times New Roman" w:cs="Times New Roman"/>
                      <w:bCs/>
                    </w:rPr>
                  </w:pPr>
                  <w:r>
                    <w:rPr>
                      <w:rFonts w:ascii="Times New Roman" w:hAnsi="Times New Roman" w:cs="Times New Roman"/>
                      <w:bCs/>
                    </w:rPr>
                    <w:t>集中收集后于烘干区内单独暂存外售作为农肥使用，利用不畅时送园区渣场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05" w:hRule="atLeast"/>
              </w:trPr>
              <w:tc>
                <w:tcPr>
                  <w:tcW w:w="849" w:type="pct"/>
                  <w:tcBorders>
                    <w:top w:val="single" w:color="auto" w:sz="4" w:space="0"/>
                    <w:left w:val="nil"/>
                    <w:bottom w:val="single" w:color="auto" w:sz="4" w:space="0"/>
                    <w:right w:val="single" w:color="auto" w:sz="4" w:space="0"/>
                  </w:tcBorders>
                  <w:vAlign w:val="center"/>
                </w:tcPr>
                <w:p>
                  <w:pPr>
                    <w:pStyle w:val="115"/>
                    <w:jc w:val="center"/>
                    <w:rPr>
                      <w:rFonts w:ascii="Times New Roman" w:hAnsi="Times New Roman" w:cs="Times New Roman"/>
                      <w:bCs/>
                    </w:rPr>
                  </w:pPr>
                  <w:r>
                    <w:rPr>
                      <w:rFonts w:ascii="Times New Roman" w:hAnsi="Times New Roman" w:cs="Times New Roman"/>
                      <w:bCs/>
                    </w:rPr>
                    <w:t>工艺除尘灰</w:t>
                  </w:r>
                </w:p>
              </w:tc>
              <w:tc>
                <w:tcPr>
                  <w:tcW w:w="891" w:type="pct"/>
                  <w:tcBorders>
                    <w:top w:val="single" w:color="auto" w:sz="4" w:space="0"/>
                    <w:left w:val="single" w:color="auto" w:sz="4" w:space="0"/>
                    <w:bottom w:val="single" w:color="auto" w:sz="4" w:space="0"/>
                    <w:right w:val="single" w:color="auto" w:sz="4" w:space="0"/>
                  </w:tcBorders>
                  <w:vAlign w:val="center"/>
                </w:tcPr>
                <w:p>
                  <w:pPr>
                    <w:pStyle w:val="115"/>
                    <w:jc w:val="center"/>
                    <w:rPr>
                      <w:rFonts w:ascii="Times New Roman" w:hAnsi="Times New Roman" w:cs="Times New Roman"/>
                      <w:bCs/>
                    </w:rPr>
                  </w:pPr>
                  <w:r>
                    <w:rPr>
                      <w:rFonts w:ascii="Times New Roman" w:hAnsi="Times New Roman" w:cs="Times New Roman"/>
                      <w:bCs/>
                    </w:rPr>
                    <w:t>66.912</w:t>
                  </w:r>
                </w:p>
              </w:tc>
              <w:tc>
                <w:tcPr>
                  <w:tcW w:w="803" w:type="pct"/>
                  <w:tcBorders>
                    <w:top w:val="single" w:color="auto" w:sz="4" w:space="0"/>
                    <w:left w:val="single" w:color="auto" w:sz="4" w:space="0"/>
                    <w:bottom w:val="single" w:color="auto" w:sz="4" w:space="0"/>
                    <w:right w:val="single" w:color="auto" w:sz="4" w:space="0"/>
                  </w:tcBorders>
                </w:tcPr>
                <w:p>
                  <w:pPr>
                    <w:pStyle w:val="115"/>
                    <w:jc w:val="center"/>
                    <w:rPr>
                      <w:rFonts w:ascii="Times New Roman" w:hAnsi="Times New Roman" w:cs="Times New Roman"/>
                      <w:bCs/>
                    </w:rPr>
                  </w:pPr>
                  <w:r>
                    <w:rPr>
                      <w:rFonts w:ascii="Times New Roman" w:hAnsi="Times New Roman" w:cs="Times New Roman"/>
                      <w:bCs/>
                    </w:rPr>
                    <w:t>一般固废</w:t>
                  </w:r>
                </w:p>
              </w:tc>
              <w:tc>
                <w:tcPr>
                  <w:tcW w:w="2457" w:type="pct"/>
                  <w:tcBorders>
                    <w:top w:val="single" w:color="auto" w:sz="4" w:space="0"/>
                    <w:left w:val="single" w:color="auto" w:sz="4" w:space="0"/>
                    <w:bottom w:val="single" w:color="auto" w:sz="4" w:space="0"/>
                    <w:right w:val="nil"/>
                  </w:tcBorders>
                  <w:vAlign w:val="center"/>
                </w:tcPr>
                <w:p>
                  <w:pPr>
                    <w:pStyle w:val="115"/>
                    <w:jc w:val="center"/>
                    <w:rPr>
                      <w:rFonts w:ascii="Times New Roman" w:hAnsi="Times New Roman" w:cs="Times New Roman"/>
                      <w:bCs/>
                    </w:rPr>
                  </w:pPr>
                  <w:r>
                    <w:rPr>
                      <w:rFonts w:ascii="Times New Roman" w:hAnsi="Times New Roman" w:cs="Times New Roman"/>
                      <w:bCs/>
                    </w:rPr>
                    <w:t>全部回收作为产品外售</w:t>
                  </w:r>
                </w:p>
              </w:tc>
            </w:tr>
          </w:tbl>
          <w:p>
            <w:pPr>
              <w:pStyle w:val="115"/>
              <w:spacing w:line="360" w:lineRule="auto"/>
              <w:ind w:firstLine="480" w:firstLineChars="200"/>
              <w:rPr>
                <w:rFonts w:ascii="Times New Roman" w:hAnsi="Times New Roman" w:cs="Times New Roman"/>
                <w:bCs/>
                <w:sz w:val="24"/>
                <w:szCs w:val="24"/>
              </w:rPr>
            </w:pPr>
            <w:r>
              <w:rPr>
                <w:rFonts w:hint="eastAsia" w:ascii="Times New Roman" w:hAnsi="Times New Roman" w:cs="Times New Roman"/>
                <w:bCs/>
                <w:sz w:val="24"/>
                <w:szCs w:val="24"/>
              </w:rPr>
              <w:t>综上，各固体废物可妥善处置。</w:t>
            </w:r>
          </w:p>
          <w:p>
            <w:pPr>
              <w:pStyle w:val="115"/>
              <w:spacing w:line="360" w:lineRule="auto"/>
              <w:ind w:firstLine="480" w:firstLineChars="200"/>
              <w:rPr>
                <w:rFonts w:ascii="Times New Roman" w:hAnsi="Times New Roman" w:cs="Times New Roman"/>
                <w:bCs/>
                <w:sz w:val="24"/>
                <w:szCs w:val="24"/>
              </w:rPr>
            </w:pPr>
            <w:r>
              <w:rPr>
                <w:rFonts w:hint="eastAsia" w:ascii="Times New Roman" w:hAnsi="Times New Roman" w:cs="Times New Roman"/>
                <w:bCs/>
                <w:sz w:val="24"/>
                <w:szCs w:val="24"/>
              </w:rPr>
              <w:t>（4）噪声</w:t>
            </w:r>
          </w:p>
          <w:p>
            <w:pPr>
              <w:pStyle w:val="115"/>
              <w:spacing w:line="360" w:lineRule="auto"/>
              <w:ind w:firstLine="480" w:firstLineChars="200"/>
              <w:rPr>
                <w:rFonts w:ascii="Times New Roman" w:hAnsi="Times New Roman" w:cs="Times New Roman"/>
                <w:bCs/>
                <w:sz w:val="24"/>
                <w:szCs w:val="24"/>
              </w:rPr>
            </w:pPr>
            <w:r>
              <w:rPr>
                <w:rFonts w:hint="eastAsia" w:ascii="Times New Roman" w:hAnsi="Times New Roman" w:cs="Times New Roman"/>
                <w:bCs/>
                <w:sz w:val="24"/>
                <w:szCs w:val="24"/>
              </w:rPr>
              <w:t>根据</w:t>
            </w:r>
            <w:r>
              <w:rPr>
                <w:rFonts w:ascii="Times New Roman" w:hAnsi="Times New Roman" w:cs="Times New Roman"/>
                <w:color w:val="000000"/>
                <w:sz w:val="24"/>
                <w:szCs w:val="24"/>
              </w:rPr>
              <w:t>内蒙古晟能能源有限责任公司年处理60万吨工业固废综合利用项目</w:t>
            </w:r>
            <w:r>
              <w:rPr>
                <w:rFonts w:hint="eastAsia" w:ascii="Times New Roman" w:hAnsi="Times New Roman" w:cs="Times New Roman"/>
                <w:bCs/>
                <w:sz w:val="24"/>
                <w:szCs w:val="24"/>
              </w:rPr>
              <w:t>验收监测报告，监测期间现有工程厂界噪声值昼间最大值为</w:t>
            </w:r>
            <w:r>
              <w:rPr>
                <w:rFonts w:ascii="Times New Roman" w:hAnsi="Times New Roman" w:cs="Times New Roman"/>
                <w:bCs/>
                <w:sz w:val="24"/>
                <w:szCs w:val="24"/>
              </w:rPr>
              <w:t>55dB(A)</w:t>
            </w:r>
            <w:r>
              <w:rPr>
                <w:rFonts w:hint="eastAsia" w:ascii="Times New Roman" w:hAnsi="Times New Roman" w:cs="Times New Roman"/>
                <w:bCs/>
                <w:sz w:val="24"/>
                <w:szCs w:val="24"/>
              </w:rPr>
              <w:t>，夜间最大值为</w:t>
            </w:r>
            <w:r>
              <w:rPr>
                <w:rFonts w:ascii="Times New Roman" w:hAnsi="Times New Roman" w:cs="Times New Roman"/>
                <w:bCs/>
                <w:sz w:val="24"/>
                <w:szCs w:val="24"/>
              </w:rPr>
              <w:t>46dB(A)</w:t>
            </w:r>
            <w:r>
              <w:rPr>
                <w:rFonts w:hint="eastAsia" w:ascii="Times New Roman" w:hAnsi="Times New Roman" w:cs="Times New Roman"/>
                <w:bCs/>
                <w:sz w:val="24"/>
                <w:szCs w:val="24"/>
              </w:rPr>
              <w:t>，结果均符合《工业企业厂界环境噪声排放标准》（</w:t>
            </w:r>
            <w:r>
              <w:rPr>
                <w:rFonts w:ascii="Times New Roman" w:hAnsi="Times New Roman" w:cs="Times New Roman"/>
                <w:bCs/>
                <w:sz w:val="24"/>
                <w:szCs w:val="24"/>
              </w:rPr>
              <w:t>GB 12348-2008</w:t>
            </w:r>
            <w:r>
              <w:rPr>
                <w:rFonts w:hint="eastAsia" w:ascii="Times New Roman" w:hAnsi="Times New Roman" w:cs="Times New Roman"/>
                <w:bCs/>
                <w:sz w:val="24"/>
                <w:szCs w:val="24"/>
              </w:rPr>
              <w:t>）</w:t>
            </w:r>
            <w:r>
              <w:rPr>
                <w:rFonts w:ascii="Times New Roman" w:hAnsi="Times New Roman" w:cs="Times New Roman"/>
                <w:bCs/>
                <w:sz w:val="24"/>
                <w:szCs w:val="24"/>
              </w:rPr>
              <w:t>3</w:t>
            </w:r>
            <w:r>
              <w:rPr>
                <w:rFonts w:hint="eastAsia" w:ascii="Times New Roman" w:hAnsi="Times New Roman" w:cs="Times New Roman"/>
                <w:bCs/>
                <w:sz w:val="24"/>
                <w:szCs w:val="24"/>
              </w:rPr>
              <w:t>类标准要求。</w:t>
            </w:r>
          </w:p>
          <w:p>
            <w:pPr>
              <w:pStyle w:val="115"/>
              <w:spacing w:line="360" w:lineRule="auto"/>
              <w:ind w:firstLine="480" w:firstLineChars="200"/>
              <w:rPr>
                <w:rFonts w:ascii="Times New Roman" w:hAnsi="Times New Roman" w:cs="Times New Roman"/>
                <w:bCs/>
                <w:sz w:val="24"/>
                <w:szCs w:val="24"/>
              </w:rPr>
            </w:pPr>
            <w:r>
              <w:rPr>
                <w:rFonts w:hint="eastAsia" w:ascii="Times New Roman" w:hAnsi="Times New Roman" w:cs="Times New Roman"/>
                <w:bCs/>
                <w:sz w:val="24"/>
                <w:szCs w:val="24"/>
              </w:rPr>
              <w:t>3、现有项目主要环境污染问题及整改要求</w:t>
            </w:r>
          </w:p>
          <w:p>
            <w:pPr>
              <w:pStyle w:val="115"/>
              <w:spacing w:line="360" w:lineRule="auto"/>
              <w:ind w:firstLine="480" w:firstLineChars="200"/>
              <w:rPr>
                <w:rFonts w:ascii="Times New Roman" w:hAnsi="Times New Roman" w:cs="Times New Roman"/>
                <w:b/>
                <w:szCs w:val="28"/>
              </w:rPr>
            </w:pPr>
            <w:r>
              <w:rPr>
                <w:rFonts w:hint="eastAsia" w:ascii="Times New Roman" w:hAnsi="Times New Roman" w:cs="Times New Roman"/>
                <w:bCs/>
                <w:sz w:val="24"/>
                <w:szCs w:val="24"/>
              </w:rPr>
              <w:t>无。</w:t>
            </w:r>
          </w:p>
        </w:tc>
      </w:tr>
    </w:tbl>
    <w:p>
      <w:pPr>
        <w:pStyle w:val="19"/>
        <w:jc w:val="center"/>
        <w:rPr>
          <w:rFonts w:ascii="黑体" w:hAnsi="黑体" w:eastAsia="黑体"/>
          <w:snapToGrid w:val="0"/>
          <w:sz w:val="30"/>
          <w:szCs w:val="30"/>
        </w:rPr>
        <w:sectPr>
          <w:pgSz w:w="11907" w:h="16840"/>
          <w:pgMar w:top="1701" w:right="1531" w:bottom="2127" w:left="1531" w:header="851" w:footer="851" w:gutter="0"/>
          <w:cols w:space="720" w:num="1"/>
          <w:docGrid w:linePitch="312" w:charSpace="0"/>
        </w:sectPr>
      </w:pPr>
    </w:p>
    <w:p>
      <w:pPr>
        <w:pStyle w:val="90"/>
        <w:rPr>
          <w:rFonts w:hint="default"/>
          <w:color w:val="auto"/>
        </w:rPr>
      </w:pPr>
      <w:r>
        <w:rPr>
          <w:color w:val="auto"/>
        </w:rPr>
        <w:t>区域环境质量现状、环境保护目标及评价标准</w:t>
      </w:r>
    </w:p>
    <w:tbl>
      <w:tblPr>
        <w:tblStyle w:val="23"/>
        <w:tblW w:w="906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01"/>
        <w:gridCol w:w="816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82" w:hRule="atLeast"/>
          <w:jc w:val="center"/>
        </w:trPr>
        <w:tc>
          <w:tcPr>
            <w:tcW w:w="901" w:type="dxa"/>
            <w:vAlign w:val="center"/>
          </w:tcPr>
          <w:p>
            <w:pPr>
              <w:pStyle w:val="89"/>
              <w:rPr>
                <w:rFonts w:hint="default"/>
                <w:color w:val="auto"/>
                <w:sz w:val="32"/>
                <w:szCs w:val="24"/>
              </w:rPr>
            </w:pPr>
            <w:r>
              <w:rPr>
                <w:color w:val="auto"/>
                <w:sz w:val="32"/>
                <w:szCs w:val="24"/>
              </w:rPr>
              <w:t>区域</w:t>
            </w:r>
          </w:p>
          <w:p>
            <w:pPr>
              <w:pStyle w:val="89"/>
              <w:rPr>
                <w:rFonts w:hint="default"/>
                <w:color w:val="auto"/>
                <w:sz w:val="32"/>
                <w:szCs w:val="24"/>
              </w:rPr>
            </w:pPr>
            <w:r>
              <w:rPr>
                <w:color w:val="auto"/>
                <w:sz w:val="32"/>
                <w:szCs w:val="24"/>
              </w:rPr>
              <w:t>环境</w:t>
            </w:r>
          </w:p>
          <w:p>
            <w:pPr>
              <w:pStyle w:val="89"/>
              <w:rPr>
                <w:rFonts w:hint="default"/>
                <w:color w:val="auto"/>
                <w:sz w:val="32"/>
                <w:szCs w:val="24"/>
              </w:rPr>
            </w:pPr>
            <w:r>
              <w:rPr>
                <w:color w:val="auto"/>
                <w:sz w:val="32"/>
                <w:szCs w:val="24"/>
              </w:rPr>
              <w:t>质量</w:t>
            </w:r>
          </w:p>
          <w:p>
            <w:pPr>
              <w:pStyle w:val="89"/>
              <w:rPr>
                <w:rFonts w:hint="default"/>
                <w:color w:val="auto"/>
                <w:sz w:val="32"/>
                <w:szCs w:val="24"/>
              </w:rPr>
            </w:pPr>
            <w:r>
              <w:rPr>
                <w:color w:val="auto"/>
                <w:sz w:val="32"/>
                <w:szCs w:val="24"/>
              </w:rPr>
              <w:t>现状</w:t>
            </w:r>
          </w:p>
        </w:tc>
        <w:tc>
          <w:tcPr>
            <w:tcW w:w="8164" w:type="dxa"/>
          </w:tcPr>
          <w:p>
            <w:pPr>
              <w:pStyle w:val="92"/>
              <w:numPr>
                <w:ilvl w:val="0"/>
                <w:numId w:val="12"/>
              </w:numPr>
              <w:spacing w:before="120"/>
              <w:rPr>
                <w:rFonts w:hint="default"/>
                <w:color w:val="auto"/>
              </w:rPr>
            </w:pPr>
            <w:r>
              <w:rPr>
                <w:rFonts w:hint="default"/>
                <w:color w:val="auto"/>
              </w:rPr>
              <w:t>大气环境质量现状</w:t>
            </w:r>
          </w:p>
          <w:p>
            <w:pPr>
              <w:pStyle w:val="82"/>
              <w:rPr>
                <w:rFonts w:hint="default"/>
              </w:rPr>
            </w:pPr>
            <w:r>
              <w:t>（1）达标区判定</w:t>
            </w:r>
          </w:p>
          <w:p>
            <w:pPr>
              <w:pStyle w:val="81"/>
              <w:ind w:firstLine="480"/>
            </w:pPr>
            <w:r>
              <w:rPr>
                <w:rFonts w:hint="eastAsia"/>
              </w:rPr>
              <w:t>项目位于内蒙古鄂尔多斯达拉特经济开发区达拉特产业园三垧梁工业片区，根据内蒙古自治区生态环境厅发布的</w:t>
            </w:r>
            <w:r>
              <w:t>2024</w:t>
            </w:r>
            <w:r>
              <w:rPr>
                <w:rFonts w:hint="eastAsia"/>
              </w:rPr>
              <w:t>年《内蒙古自治区生态环境状况公报》，“</w:t>
            </w:r>
            <w:r>
              <w:t>2024</w:t>
            </w:r>
            <w:r>
              <w:rPr>
                <w:rFonts w:hint="eastAsia"/>
              </w:rPr>
              <w:t>年，全区</w:t>
            </w:r>
            <w:r>
              <w:t>12</w:t>
            </w:r>
            <w:r>
              <w:rPr>
                <w:rFonts w:hint="eastAsia"/>
              </w:rPr>
              <w:t>盟市环境空气质量均达标”，因此项目所在区域为达标区。</w:t>
            </w:r>
          </w:p>
          <w:p>
            <w:pPr>
              <w:pStyle w:val="82"/>
              <w:rPr>
                <w:rFonts w:hint="default" w:ascii="Times New Roman" w:hAnsi="Times New Roman" w:cs="Times New Roman"/>
              </w:rPr>
            </w:pPr>
            <w:r>
              <w:rPr>
                <w:rFonts w:ascii="Times New Roman" w:hAnsi="Times New Roman" w:cs="Times New Roman"/>
              </w:rPr>
              <w:t>（2）特征污染物现状</w:t>
            </w:r>
          </w:p>
          <w:p>
            <w:pPr>
              <w:pStyle w:val="81"/>
              <w:ind w:firstLine="480"/>
            </w:pPr>
            <w:r>
              <w:rPr>
                <w:rFonts w:hint="eastAsia"/>
              </w:rPr>
              <w:t>本项目特征污染物为颗粒物，环境质量现状引用</w:t>
            </w:r>
            <w:r>
              <w:rPr>
                <w:rFonts w:hint="eastAsia"/>
                <w:bCs/>
              </w:rPr>
              <w:t>《内蒙古晟能能源有限责任公司年处理60万吨工业固废综合利用项目环境影响报告表》中的</w:t>
            </w:r>
            <w:bookmarkStart w:id="258" w:name="OLE_LINK154"/>
            <w:bookmarkStart w:id="259" w:name="OLE_LINK153"/>
            <w:r>
              <w:rPr>
                <w:rFonts w:hint="eastAsia"/>
                <w:bCs/>
              </w:rPr>
              <w:t>环境质量现状</w:t>
            </w:r>
            <w:r>
              <w:rPr>
                <w:rFonts w:hint="eastAsia"/>
              </w:rPr>
              <w:t>监测数据</w:t>
            </w:r>
            <w:bookmarkEnd w:id="258"/>
            <w:bookmarkEnd w:id="259"/>
            <w:r>
              <w:rPr>
                <w:rFonts w:hint="eastAsia"/>
              </w:rPr>
              <w:t>，监测时间为2023年7月12日-7月14日，连续监测3天，监测单位为北京华成星科检测服务有限公司，监测点位于本项目厂区范围内，详见下图。具体监测结果如下。</w:t>
            </w:r>
          </w:p>
          <w:p>
            <w:pPr>
              <w:adjustRightInd w:val="0"/>
              <w:snapToGrid w:val="0"/>
              <w:jc w:val="center"/>
              <w:rPr>
                <w:rFonts w:ascii="Times New Roman" w:hAnsi="Times New Roman" w:eastAsia="宋体" w:cs="Times New Roman"/>
                <w:b/>
                <w:bCs/>
                <w:kern w:val="0"/>
                <w:szCs w:val="21"/>
              </w:rPr>
            </w:pPr>
            <w:r>
              <w:rPr>
                <w:rFonts w:ascii="Times New Roman" w:hAnsi="Times New Roman" w:eastAsia="宋体" w:cs="Times New Roman"/>
                <w:b/>
                <w:bCs/>
                <w:kern w:val="0"/>
                <w:szCs w:val="21"/>
              </w:rPr>
              <w:t>表3-1 环境空气质量现状监测结果表</w:t>
            </w:r>
          </w:p>
          <w:tbl>
            <w:tblPr>
              <w:tblStyle w:val="2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20"/>
              <w:gridCol w:w="1081"/>
              <w:gridCol w:w="1202"/>
              <w:gridCol w:w="870"/>
              <w:gridCol w:w="1180"/>
              <w:gridCol w:w="1081"/>
              <w:gridCol w:w="857"/>
              <w:gridCol w:w="85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Align w:val="center"/>
                </w:tcPr>
                <w:p>
                  <w:pPr>
                    <w:ind w:left="-105" w:leftChars="-50" w:right="-105" w:rightChars="-50"/>
                    <w:jc w:val="center"/>
                    <w:rPr>
                      <w:rFonts w:ascii="Times New Roman" w:hAnsi="Times New Roman" w:eastAsia="宋体" w:cs="Times New Roman"/>
                      <w:b/>
                      <w:szCs w:val="21"/>
                    </w:rPr>
                  </w:pPr>
                  <w:r>
                    <w:rPr>
                      <w:rFonts w:ascii="Times New Roman" w:hAnsi="Times New Roman" w:eastAsia="宋体" w:cs="Times New Roman"/>
                      <w:b/>
                      <w:szCs w:val="21"/>
                    </w:rPr>
                    <w:t>监测</w:t>
                  </w:r>
                </w:p>
                <w:p>
                  <w:pPr>
                    <w:ind w:left="-105" w:leftChars="-50" w:right="-105" w:rightChars="-50"/>
                    <w:jc w:val="center"/>
                    <w:rPr>
                      <w:rFonts w:ascii="Times New Roman" w:hAnsi="Times New Roman" w:eastAsia="宋体" w:cs="Times New Roman"/>
                      <w:b/>
                      <w:szCs w:val="21"/>
                    </w:rPr>
                  </w:pPr>
                  <w:r>
                    <w:rPr>
                      <w:rFonts w:ascii="Times New Roman" w:hAnsi="Times New Roman" w:eastAsia="宋体" w:cs="Times New Roman"/>
                      <w:b/>
                      <w:szCs w:val="21"/>
                    </w:rPr>
                    <w:t>因子</w:t>
                  </w:r>
                </w:p>
              </w:tc>
              <w:tc>
                <w:tcPr>
                  <w:tcW w:w="680" w:type="pct"/>
                  <w:vAlign w:val="center"/>
                </w:tcPr>
                <w:p>
                  <w:pPr>
                    <w:ind w:left="-105" w:leftChars="-50" w:right="-105" w:rightChars="-50"/>
                    <w:jc w:val="center"/>
                    <w:rPr>
                      <w:rFonts w:ascii="Times New Roman" w:hAnsi="Times New Roman" w:eastAsia="宋体" w:cs="Times New Roman"/>
                      <w:b/>
                      <w:szCs w:val="21"/>
                    </w:rPr>
                  </w:pPr>
                  <w:r>
                    <w:rPr>
                      <w:rFonts w:ascii="Times New Roman" w:hAnsi="Times New Roman" w:eastAsia="宋体" w:cs="Times New Roman"/>
                      <w:b/>
                      <w:szCs w:val="21"/>
                    </w:rPr>
                    <w:t>监测点</w:t>
                  </w:r>
                </w:p>
              </w:tc>
              <w:tc>
                <w:tcPr>
                  <w:tcW w:w="1303" w:type="pct"/>
                  <w:gridSpan w:val="2"/>
                  <w:vAlign w:val="center"/>
                </w:tcPr>
                <w:p>
                  <w:pPr>
                    <w:ind w:left="-105" w:leftChars="-50" w:right="-105" w:rightChars="-50"/>
                    <w:jc w:val="center"/>
                    <w:rPr>
                      <w:rFonts w:ascii="Times New Roman" w:hAnsi="Times New Roman" w:eastAsia="宋体" w:cs="Times New Roman"/>
                      <w:b/>
                      <w:szCs w:val="21"/>
                    </w:rPr>
                  </w:pPr>
                  <w:r>
                    <w:rPr>
                      <w:rFonts w:ascii="Times New Roman" w:hAnsi="Times New Roman" w:eastAsia="宋体" w:cs="Times New Roman"/>
                      <w:b/>
                      <w:szCs w:val="21"/>
                    </w:rPr>
                    <w:t>监测值范围（μg/m</w:t>
                  </w:r>
                  <w:r>
                    <w:rPr>
                      <w:rFonts w:ascii="Times New Roman" w:hAnsi="Times New Roman" w:eastAsia="宋体" w:cs="Times New Roman"/>
                      <w:b/>
                      <w:szCs w:val="21"/>
                      <w:vertAlign w:val="superscript"/>
                    </w:rPr>
                    <w:t>3</w:t>
                  </w:r>
                  <w:r>
                    <w:rPr>
                      <w:rFonts w:ascii="Times New Roman" w:hAnsi="Times New Roman" w:eastAsia="宋体" w:cs="Times New Roman"/>
                      <w:b/>
                      <w:szCs w:val="21"/>
                    </w:rPr>
                    <w:t>）</w:t>
                  </w:r>
                </w:p>
              </w:tc>
              <w:tc>
                <w:tcPr>
                  <w:tcW w:w="742" w:type="pct"/>
                  <w:vAlign w:val="center"/>
                </w:tcPr>
                <w:p>
                  <w:pPr>
                    <w:ind w:left="-105" w:leftChars="-50" w:right="-105" w:rightChars="-50"/>
                    <w:jc w:val="center"/>
                    <w:rPr>
                      <w:rFonts w:ascii="Times New Roman" w:hAnsi="Times New Roman" w:eastAsia="宋体" w:cs="Times New Roman"/>
                      <w:b/>
                      <w:szCs w:val="21"/>
                    </w:rPr>
                  </w:pPr>
                  <w:r>
                    <w:rPr>
                      <w:rFonts w:ascii="Times New Roman" w:hAnsi="Times New Roman" w:eastAsia="宋体" w:cs="Times New Roman"/>
                      <w:b/>
                      <w:szCs w:val="21"/>
                    </w:rPr>
                    <w:t>标准值（μg/m</w:t>
                  </w:r>
                  <w:r>
                    <w:rPr>
                      <w:rFonts w:ascii="Times New Roman" w:hAnsi="Times New Roman" w:eastAsia="宋体" w:cs="Times New Roman"/>
                      <w:b/>
                      <w:szCs w:val="21"/>
                      <w:vertAlign w:val="superscript"/>
                    </w:rPr>
                    <w:t>3</w:t>
                  </w:r>
                  <w:r>
                    <w:rPr>
                      <w:rFonts w:ascii="Times New Roman" w:hAnsi="Times New Roman" w:eastAsia="宋体" w:cs="Times New Roman"/>
                      <w:b/>
                      <w:szCs w:val="21"/>
                    </w:rPr>
                    <w:t>）</w:t>
                  </w:r>
                </w:p>
              </w:tc>
              <w:tc>
                <w:tcPr>
                  <w:tcW w:w="680" w:type="pct"/>
                  <w:vAlign w:val="center"/>
                </w:tcPr>
                <w:p>
                  <w:pPr>
                    <w:ind w:left="-105" w:leftChars="-50" w:right="-105" w:rightChars="-50"/>
                    <w:jc w:val="center"/>
                    <w:rPr>
                      <w:rFonts w:ascii="Times New Roman" w:hAnsi="Times New Roman" w:eastAsia="宋体" w:cs="Times New Roman"/>
                      <w:b/>
                      <w:szCs w:val="21"/>
                      <w:lang w:val="zh-CN"/>
                    </w:rPr>
                  </w:pPr>
                  <w:r>
                    <w:rPr>
                      <w:rFonts w:ascii="Times New Roman" w:hAnsi="Times New Roman" w:eastAsia="宋体" w:cs="Times New Roman"/>
                      <w:b/>
                      <w:szCs w:val="21"/>
                      <w:lang w:val="zh-CN"/>
                    </w:rPr>
                    <w:t>最大值占</w:t>
                  </w:r>
                </w:p>
                <w:p>
                  <w:pPr>
                    <w:ind w:left="-105" w:leftChars="-50" w:right="-105" w:rightChars="-50"/>
                    <w:jc w:val="center"/>
                    <w:rPr>
                      <w:rFonts w:ascii="Times New Roman" w:hAnsi="Times New Roman" w:eastAsia="宋体" w:cs="Times New Roman"/>
                      <w:b/>
                      <w:szCs w:val="21"/>
                    </w:rPr>
                  </w:pPr>
                  <w:r>
                    <w:rPr>
                      <w:rFonts w:ascii="Times New Roman" w:hAnsi="Times New Roman" w:eastAsia="宋体" w:cs="Times New Roman"/>
                      <w:b/>
                      <w:szCs w:val="21"/>
                      <w:lang w:val="zh-CN"/>
                    </w:rPr>
                    <w:t>标率</w:t>
                  </w:r>
                  <w:r>
                    <w:rPr>
                      <w:rFonts w:ascii="Times New Roman" w:hAnsi="Times New Roman" w:eastAsia="宋体" w:cs="Times New Roman"/>
                      <w:b/>
                      <w:szCs w:val="21"/>
                    </w:rPr>
                    <w:t>（%）</w:t>
                  </w:r>
                </w:p>
              </w:tc>
              <w:tc>
                <w:tcPr>
                  <w:tcW w:w="539" w:type="pct"/>
                  <w:vAlign w:val="center"/>
                </w:tcPr>
                <w:p>
                  <w:pPr>
                    <w:ind w:left="-105" w:leftChars="-50" w:right="-105" w:rightChars="-50"/>
                    <w:jc w:val="center"/>
                    <w:rPr>
                      <w:rFonts w:ascii="Times New Roman" w:hAnsi="Times New Roman" w:eastAsia="宋体" w:cs="Times New Roman"/>
                      <w:b/>
                      <w:szCs w:val="21"/>
                    </w:rPr>
                  </w:pPr>
                  <w:r>
                    <w:rPr>
                      <w:rFonts w:ascii="Times New Roman" w:hAnsi="Times New Roman" w:eastAsia="宋体" w:cs="Times New Roman"/>
                      <w:b/>
                      <w:szCs w:val="21"/>
                    </w:rPr>
                    <w:t>超标率</w:t>
                  </w:r>
                </w:p>
                <w:p>
                  <w:pPr>
                    <w:ind w:left="-105" w:leftChars="-50" w:right="-105" w:rightChars="-50"/>
                    <w:jc w:val="center"/>
                    <w:rPr>
                      <w:rFonts w:ascii="Times New Roman" w:hAnsi="Times New Roman" w:eastAsia="宋体" w:cs="Times New Roman"/>
                      <w:b/>
                      <w:szCs w:val="21"/>
                    </w:rPr>
                  </w:pPr>
                  <w:r>
                    <w:rPr>
                      <w:rFonts w:ascii="Times New Roman" w:hAnsi="Times New Roman" w:eastAsia="宋体" w:cs="Times New Roman"/>
                      <w:b/>
                      <w:szCs w:val="21"/>
                    </w:rPr>
                    <w:t>（%）</w:t>
                  </w:r>
                </w:p>
              </w:tc>
              <w:tc>
                <w:tcPr>
                  <w:tcW w:w="539" w:type="pct"/>
                  <w:vAlign w:val="center"/>
                </w:tcPr>
                <w:p>
                  <w:pPr>
                    <w:ind w:left="-105" w:leftChars="-50" w:right="-105" w:rightChars="-50"/>
                    <w:jc w:val="center"/>
                    <w:rPr>
                      <w:rFonts w:ascii="Times New Roman" w:hAnsi="Times New Roman" w:eastAsia="宋体" w:cs="Times New Roman"/>
                      <w:b/>
                      <w:szCs w:val="21"/>
                    </w:rPr>
                  </w:pPr>
                  <w:r>
                    <w:rPr>
                      <w:rFonts w:ascii="Times New Roman" w:hAnsi="Times New Roman" w:eastAsia="宋体" w:cs="Times New Roman"/>
                      <w:b/>
                      <w:szCs w:val="21"/>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6" w:type="pct"/>
                  <w:vAlign w:val="center"/>
                </w:tcPr>
                <w:p>
                  <w:pPr>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TSP</w:t>
                  </w:r>
                </w:p>
              </w:tc>
              <w:tc>
                <w:tcPr>
                  <w:tcW w:w="680" w:type="pct"/>
                  <w:vAlign w:val="center"/>
                </w:tcPr>
                <w:p>
                  <w:pPr>
                    <w:jc w:val="center"/>
                    <w:rPr>
                      <w:rFonts w:ascii="Times New Roman" w:hAnsi="Times New Roman" w:eastAsia="宋体" w:cs="Times New Roman"/>
                      <w:szCs w:val="21"/>
                    </w:rPr>
                  </w:pPr>
                  <w:r>
                    <w:rPr>
                      <w:rFonts w:ascii="Times New Roman" w:hAnsi="Times New Roman" w:eastAsia="宋体" w:cs="Times New Roman"/>
                      <w:bCs/>
                      <w:szCs w:val="21"/>
                    </w:rPr>
                    <w:t>引用监测点G1</w:t>
                  </w:r>
                </w:p>
              </w:tc>
              <w:tc>
                <w:tcPr>
                  <w:tcW w:w="756" w:type="pct"/>
                  <w:vAlign w:val="center"/>
                </w:tcPr>
                <w:p>
                  <w:pPr>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24h平均</w:t>
                  </w:r>
                </w:p>
              </w:tc>
              <w:tc>
                <w:tcPr>
                  <w:tcW w:w="547" w:type="pct"/>
                  <w:vAlign w:val="center"/>
                </w:tcPr>
                <w:p>
                  <w:pPr>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109~121</w:t>
                  </w:r>
                </w:p>
              </w:tc>
              <w:tc>
                <w:tcPr>
                  <w:tcW w:w="742" w:type="pct"/>
                  <w:vAlign w:val="center"/>
                </w:tcPr>
                <w:p>
                  <w:pPr>
                    <w:autoSpaceDE w:val="0"/>
                    <w:autoSpaceDN w:val="0"/>
                    <w:ind w:left="-105" w:leftChars="-50" w:right="-105" w:rightChars="-50"/>
                    <w:jc w:val="center"/>
                    <w:rPr>
                      <w:rFonts w:ascii="Times New Roman" w:hAnsi="Times New Roman" w:eastAsia="宋体" w:cs="Times New Roman"/>
                      <w:szCs w:val="21"/>
                    </w:rPr>
                  </w:pPr>
                  <w:r>
                    <w:rPr>
                      <w:rFonts w:ascii="Times New Roman" w:hAnsi="Times New Roman" w:eastAsia="宋体" w:cs="Times New Roman"/>
                      <w:szCs w:val="21"/>
                    </w:rPr>
                    <w:t>300</w:t>
                  </w:r>
                </w:p>
              </w:tc>
              <w:tc>
                <w:tcPr>
                  <w:tcW w:w="680"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rPr>
                    <w:t>40.3</w:t>
                  </w:r>
                </w:p>
              </w:tc>
              <w:tc>
                <w:tcPr>
                  <w:tcW w:w="539" w:type="pct"/>
                  <w:vAlign w:val="center"/>
                </w:tcPr>
                <w:p>
                  <w:pPr>
                    <w:jc w:val="center"/>
                    <w:rPr>
                      <w:rFonts w:ascii="Times New Roman" w:hAnsi="Times New Roman" w:eastAsia="宋体" w:cs="Times New Roman"/>
                      <w:szCs w:val="21"/>
                    </w:rPr>
                  </w:pPr>
                  <w:r>
                    <w:rPr>
                      <w:rFonts w:ascii="Times New Roman" w:hAnsi="Times New Roman" w:eastAsia="宋体" w:cs="Times New Roman"/>
                      <w:szCs w:val="21"/>
                      <w:lang w:val="zh-CN"/>
                    </w:rPr>
                    <w:t>0</w:t>
                  </w:r>
                </w:p>
              </w:tc>
              <w:tc>
                <w:tcPr>
                  <w:tcW w:w="539" w:type="pct"/>
                  <w:vAlign w:val="center"/>
                </w:tcPr>
                <w:p>
                  <w:pPr>
                    <w:jc w:val="center"/>
                    <w:rPr>
                      <w:rFonts w:ascii="Times New Roman" w:hAnsi="Times New Roman" w:eastAsia="宋体" w:cs="Times New Roman"/>
                      <w:szCs w:val="21"/>
                      <w:lang w:val="zh-CN"/>
                    </w:rPr>
                  </w:pPr>
                  <w:r>
                    <w:rPr>
                      <w:rFonts w:ascii="Times New Roman" w:hAnsi="Times New Roman" w:eastAsia="宋体" w:cs="Times New Roman"/>
                      <w:szCs w:val="21"/>
                      <w:lang w:val="zh-CN"/>
                    </w:rPr>
                    <w:t>达标</w:t>
                  </w:r>
                </w:p>
              </w:tc>
            </w:tr>
          </w:tbl>
          <w:p>
            <w:pPr>
              <w:pStyle w:val="81"/>
              <w:ind w:firstLine="480"/>
            </w:pPr>
            <w:r>
              <w:rPr>
                <w:rFonts w:hint="eastAsia"/>
              </w:rPr>
              <w:t>根据引用监测数据结果可知，评价区内监测点位的TSP满足《环境空气质量标准》（GB3095-2012）中二级标准限值。</w:t>
            </w:r>
          </w:p>
          <w:p>
            <w:pPr>
              <w:autoSpaceDE w:val="0"/>
              <w:autoSpaceDN w:val="0"/>
              <w:adjustRightInd w:val="0"/>
              <w:snapToGrid w:val="0"/>
              <w:spacing w:line="360" w:lineRule="auto"/>
              <w:jc w:val="center"/>
              <w:rPr>
                <w:rFonts w:ascii="宋体" w:hAnsi="Times New Roman" w:eastAsia="宋体" w:cs="宋体"/>
                <w:kern w:val="0"/>
                <w:sz w:val="24"/>
                <w:szCs w:val="24"/>
              </w:rPr>
            </w:pPr>
            <w:r>
              <w:rPr>
                <w:kern w:val="0"/>
                <w:sz w:val="24"/>
              </w:rPr>
              <w:drawing>
                <wp:inline distT="0" distB="0" distL="0" distR="0">
                  <wp:extent cx="4040505" cy="5715000"/>
                  <wp:effectExtent l="0" t="0" r="0" b="0"/>
                  <wp:docPr id="1285752749"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85752749" name="图片 4"/>
                          <pic:cNvPicPr>
                            <a:picLocks noChangeAspect="true" noChangeArrowheads="true"/>
                          </pic:cNvPicPr>
                        </pic:nvPicPr>
                        <pic:blipFill>
                          <a:blip r:embed="rId20">
                            <a:extLst>
                              <a:ext uri="{28A0092B-C50C-407E-A947-70E740481C1C}">
                                <a14:useLocalDpi xmlns:a14="http://schemas.microsoft.com/office/drawing/2010/main" val="false"/>
                              </a:ext>
                            </a:extLst>
                          </a:blip>
                          <a:srcRect/>
                          <a:stretch>
                            <a:fillRect/>
                          </a:stretch>
                        </pic:blipFill>
                        <pic:spPr>
                          <a:xfrm>
                            <a:off x="0" y="0"/>
                            <a:ext cx="4044434" cy="5719888"/>
                          </a:xfrm>
                          <a:prstGeom prst="rect">
                            <a:avLst/>
                          </a:prstGeom>
                          <a:noFill/>
                          <a:ln>
                            <a:noFill/>
                          </a:ln>
                        </pic:spPr>
                      </pic:pic>
                    </a:graphicData>
                  </a:graphic>
                </wp:inline>
              </w:drawing>
            </w:r>
          </w:p>
          <w:p>
            <w:pPr>
              <w:pStyle w:val="88"/>
              <w:rPr>
                <w:rFonts w:cs="Times New Roman"/>
                <w:b/>
                <w:bCs/>
              </w:rPr>
            </w:pPr>
            <w:r>
              <w:rPr>
                <w:rFonts w:hint="eastAsia"/>
                <w:b/>
                <w:bCs/>
              </w:rPr>
              <w:t>图</w:t>
            </w:r>
            <w:r>
              <w:rPr>
                <w:b/>
                <w:bCs/>
              </w:rPr>
              <w:t xml:space="preserve">3-1  </w:t>
            </w:r>
            <w:r>
              <w:rPr>
                <w:rFonts w:hint="eastAsia"/>
                <w:b/>
                <w:bCs/>
              </w:rPr>
              <w:t>本项目引用大气监测点位置图</w:t>
            </w:r>
          </w:p>
          <w:p>
            <w:pPr>
              <w:pStyle w:val="92"/>
              <w:numPr>
                <w:ilvl w:val="0"/>
                <w:numId w:val="12"/>
              </w:numPr>
              <w:spacing w:before="120"/>
              <w:rPr>
                <w:rFonts w:hint="default"/>
                <w:color w:val="auto"/>
              </w:rPr>
            </w:pPr>
            <w:r>
              <w:rPr>
                <w:color w:val="auto"/>
              </w:rPr>
              <w:t>声环境质量现状</w:t>
            </w:r>
          </w:p>
          <w:p>
            <w:pPr>
              <w:pStyle w:val="82"/>
              <w:rPr>
                <w:rFonts w:hint="default" w:ascii="Times New Roman" w:hAnsi="Times New Roman" w:cs="Times New Roman"/>
              </w:rPr>
            </w:pPr>
            <w:r>
              <w:rPr>
                <w:rFonts w:ascii="Times New Roman" w:hAnsi="Times New Roman" w:cs="Times New Roman"/>
              </w:rPr>
              <w:t>根据《建设项目环境影响报告表编制技术指南（污染影响类）（试行）》，厂界外周边50米范围内存在声环境保护目标的建设项目，应监测保护目标声环境质量现状并评价达标情况。</w:t>
            </w:r>
          </w:p>
          <w:p>
            <w:pPr>
              <w:pStyle w:val="82"/>
              <w:rPr>
                <w:rFonts w:hint="default" w:ascii="Times New Roman" w:hAnsi="Times New Roman" w:cs="Times New Roman"/>
              </w:rPr>
            </w:pPr>
            <w:r>
              <w:rPr>
                <w:rFonts w:ascii="Times New Roman" w:hAnsi="Times New Roman" w:cs="Times New Roman"/>
              </w:rPr>
              <w:t>根据现场踏勘情况，项目厂界外50m范围内无声环境敏感点，因此本次评价不进行声环境质量现状监测</w:t>
            </w:r>
            <w:r>
              <w:rPr>
                <w:rFonts w:hint="default" w:ascii="Times New Roman" w:hAnsi="Times New Roman" w:cs="Times New Roman"/>
              </w:rPr>
              <w:t>。</w:t>
            </w:r>
          </w:p>
          <w:p>
            <w:pPr>
              <w:pStyle w:val="92"/>
              <w:spacing w:before="120"/>
              <w:rPr>
                <w:rFonts w:hint="default"/>
                <w:color w:val="auto"/>
              </w:rPr>
            </w:pPr>
            <w:r>
              <w:rPr>
                <w:rFonts w:hint="default"/>
                <w:color w:val="auto"/>
              </w:rPr>
              <w:t>地下水环境质量现状</w:t>
            </w:r>
          </w:p>
          <w:p>
            <w:pPr>
              <w:pStyle w:val="81"/>
              <w:ind w:firstLine="480"/>
            </w:pPr>
            <w:r>
              <w:t>根据</w:t>
            </w:r>
            <w:r>
              <w:rPr>
                <w:color w:val="FF0000"/>
              </w:rPr>
              <w:t>《环境影响评价技术导则 地下水</w:t>
            </w:r>
            <w:r>
              <w:rPr>
                <w:rFonts w:hint="eastAsia"/>
                <w:color w:val="FF0000"/>
              </w:rPr>
              <w:t>环境</w:t>
            </w:r>
            <w:r>
              <w:rPr>
                <w:color w:val="FF0000"/>
              </w:rPr>
              <w:t>》（HJ610-2016）</w:t>
            </w:r>
            <w:r>
              <w:t>中附录A地下水环境影响评价行业分类表可知，项目属于废旧资源（含生物质）加工、再生利用，项目厂界外500米范围内无地下水集中式饮用水水源和热水、矿泉水，属于Ⅳ类，故不开展地下水环境影响评价。</w:t>
            </w:r>
          </w:p>
          <w:p>
            <w:pPr>
              <w:pStyle w:val="92"/>
              <w:spacing w:before="120"/>
              <w:rPr>
                <w:rFonts w:hint="default"/>
                <w:color w:val="auto"/>
              </w:rPr>
            </w:pPr>
            <w:r>
              <w:rPr>
                <w:color w:val="auto"/>
              </w:rPr>
              <w:t>生态环境质量现状</w:t>
            </w:r>
          </w:p>
          <w:p>
            <w:pPr>
              <w:pStyle w:val="81"/>
              <w:ind w:firstLine="480"/>
            </w:pPr>
            <w:r>
              <w:rPr>
                <w:rFonts w:hint="eastAsia"/>
              </w:rPr>
              <w:t>根据《建设项目环境影响报告表编制技术指南（污染影响类）（试行）》，“产业园区外建设项目新增用地且用地范围内含有生态环境保护目标时，应进行生态现状调查”，</w:t>
            </w:r>
            <w:r>
              <w:t>项目占地位于</w:t>
            </w:r>
            <w:r>
              <w:rPr>
                <w:rFonts w:hint="eastAsia"/>
              </w:rPr>
              <w:t>内蒙古晟能能源有限责任公司厂区内，属于内蒙古鄂尔多斯达拉特经济开发区达拉特产业园三垧梁工业片区范围内，</w:t>
            </w:r>
            <w:r>
              <w:t>因此，本次评价不进行生态现状调查。</w:t>
            </w:r>
          </w:p>
          <w:p>
            <w:pPr>
              <w:pStyle w:val="92"/>
              <w:spacing w:before="120"/>
              <w:rPr>
                <w:rFonts w:hint="default"/>
                <w:color w:val="auto"/>
              </w:rPr>
            </w:pPr>
            <w:r>
              <w:rPr>
                <w:color w:val="auto"/>
              </w:rPr>
              <w:t>土壤环境质量</w:t>
            </w:r>
          </w:p>
          <w:p>
            <w:pPr>
              <w:pStyle w:val="82"/>
              <w:rPr>
                <w:rFonts w:hint="default" w:ascii="Times New Roman" w:hAnsi="Times New Roman" w:cs="Times New Roman"/>
                <w:kern w:val="0"/>
              </w:rPr>
            </w:pPr>
            <w:r>
              <w:rPr>
                <w:kern w:val="0"/>
              </w:rPr>
              <w:t>依据《建设项目环境影响报告表编制技术指南（污染影响类）（试行）》，原则上不开展环境质量现状调查。建设项目存在土壤、地下水环境污染途径的，应结合污染源、保护目标分布情况开展现状调查以留作背景值。本项目</w:t>
            </w:r>
            <w:r>
              <w:rPr>
                <w:kern w:val="0"/>
                <w:highlight w:val="yellow"/>
              </w:rPr>
              <w:t>生产过程中无土壤污染途径</w:t>
            </w:r>
            <w:r>
              <w:rPr>
                <w:kern w:val="0"/>
              </w:rPr>
              <w:t>，因此不开展土壤环境质量现状评价</w:t>
            </w:r>
            <w:r>
              <w:rPr>
                <w:rFonts w:ascii="Times New Roman" w:hAnsi="Times New Roman" w:cs="Times New Roma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15" w:hRule="atLeast"/>
          <w:jc w:val="center"/>
        </w:trPr>
        <w:tc>
          <w:tcPr>
            <w:tcW w:w="901" w:type="dxa"/>
            <w:vAlign w:val="center"/>
          </w:tcPr>
          <w:p>
            <w:pPr>
              <w:pStyle w:val="89"/>
              <w:rPr>
                <w:rFonts w:hint="default"/>
                <w:color w:val="auto"/>
                <w:sz w:val="32"/>
                <w:szCs w:val="24"/>
              </w:rPr>
            </w:pPr>
            <w:r>
              <w:rPr>
                <w:color w:val="auto"/>
                <w:sz w:val="32"/>
                <w:szCs w:val="24"/>
              </w:rPr>
              <w:t>环境</w:t>
            </w:r>
          </w:p>
          <w:p>
            <w:pPr>
              <w:pStyle w:val="89"/>
              <w:rPr>
                <w:rFonts w:hint="default"/>
                <w:color w:val="auto"/>
                <w:sz w:val="32"/>
                <w:szCs w:val="24"/>
              </w:rPr>
            </w:pPr>
            <w:r>
              <w:rPr>
                <w:color w:val="auto"/>
                <w:sz w:val="32"/>
                <w:szCs w:val="24"/>
              </w:rPr>
              <w:t>保护</w:t>
            </w:r>
          </w:p>
          <w:p>
            <w:pPr>
              <w:pStyle w:val="89"/>
              <w:rPr>
                <w:rFonts w:hint="default"/>
                <w:color w:val="auto"/>
                <w:sz w:val="32"/>
                <w:szCs w:val="24"/>
              </w:rPr>
            </w:pPr>
            <w:r>
              <w:rPr>
                <w:color w:val="auto"/>
                <w:sz w:val="32"/>
                <w:szCs w:val="24"/>
              </w:rPr>
              <w:t>目标</w:t>
            </w:r>
          </w:p>
        </w:tc>
        <w:tc>
          <w:tcPr>
            <w:tcW w:w="8164" w:type="dxa"/>
            <w:vAlign w:val="center"/>
          </w:tcPr>
          <w:p>
            <w:pPr>
              <w:pStyle w:val="81"/>
              <w:ind w:firstLine="480"/>
            </w:pPr>
            <w:bookmarkStart w:id="260" w:name="_Hlk151460382"/>
            <w:r>
              <w:t>项目位</w:t>
            </w:r>
            <w:r>
              <w:rPr>
                <w:rFonts w:hint="eastAsia"/>
              </w:rPr>
              <w:t>于内蒙古鄂尔多斯达拉特经济开发区达拉特产业园三垧梁工业片区内蒙古晟能能源有限责任公司厂区内</w:t>
            </w:r>
            <w:r>
              <w:t>，项目评价范围内无文物古迹、自然保护区等敏感目标。根据《建设项目环境影响报告表编制技术指南（污染影响类）（试行）》，确定本项目环境保护目标如下：</w:t>
            </w:r>
          </w:p>
          <w:p>
            <w:pPr>
              <w:pStyle w:val="81"/>
              <w:ind w:firstLine="480"/>
            </w:pPr>
            <w:r>
              <w:t>1.大气环境</w:t>
            </w:r>
          </w:p>
          <w:p>
            <w:pPr>
              <w:pStyle w:val="81"/>
              <w:ind w:firstLine="480"/>
              <w:rPr>
                <w:bCs/>
              </w:rPr>
            </w:pPr>
            <w:r>
              <w:t>明确厂界外500m范围内的自然保护区、风景名胜区、居住区、文化区和农村地区中人群较集中的区域等保护目标的名称及与建设项目厂界位置关系。经调查，本项目厂界外500m范围内</w:t>
            </w:r>
            <w:r>
              <w:rPr>
                <w:rFonts w:hint="eastAsia"/>
              </w:rPr>
              <w:t>无自然保护区、风景名胜区、居住区、文化区，无农村地区中人群较集中的区域，因此本项目无大气环境保护目标</w:t>
            </w:r>
            <w:r>
              <w:rPr>
                <w:rFonts w:hint="eastAsia"/>
                <w:bCs/>
              </w:rPr>
              <w:t>。</w:t>
            </w:r>
          </w:p>
          <w:p>
            <w:pPr>
              <w:pStyle w:val="81"/>
              <w:ind w:firstLine="480"/>
            </w:pPr>
            <w:r>
              <w:t>2.声环境</w:t>
            </w:r>
          </w:p>
          <w:p>
            <w:pPr>
              <w:pStyle w:val="81"/>
              <w:ind w:firstLine="480"/>
            </w:pPr>
            <w:r>
              <w:t>经调查，本项目厂界外50m范围内</w:t>
            </w:r>
            <w:r>
              <w:rPr>
                <w:rFonts w:hint="eastAsia"/>
              </w:rPr>
              <w:t>无</w:t>
            </w:r>
            <w:r>
              <w:t>声环境敏感目标。</w:t>
            </w:r>
          </w:p>
          <w:p>
            <w:pPr>
              <w:pStyle w:val="81"/>
              <w:ind w:firstLine="480"/>
            </w:pPr>
            <w:r>
              <w:t>3.地下水环境</w:t>
            </w:r>
          </w:p>
          <w:p>
            <w:pPr>
              <w:pStyle w:val="81"/>
              <w:ind w:firstLine="480"/>
            </w:pPr>
            <w:r>
              <w:t>经调查，本项目厂界外500m范围内不存在地下水集中式饮用水水源和</w:t>
            </w:r>
            <w:r>
              <w:rPr>
                <w:rFonts w:hint="eastAsia"/>
              </w:rPr>
              <w:t>热水</w:t>
            </w:r>
            <w:r>
              <w:t>、矿泉水、温泉等地下水环境敏感目标。</w:t>
            </w:r>
          </w:p>
          <w:p>
            <w:pPr>
              <w:pStyle w:val="81"/>
              <w:ind w:firstLine="480"/>
            </w:pPr>
            <w:r>
              <w:rPr>
                <w:rFonts w:hint="eastAsia"/>
              </w:rPr>
              <w:t>4.生态环境</w:t>
            </w:r>
          </w:p>
          <w:p>
            <w:pPr>
              <w:pStyle w:val="81"/>
              <w:ind w:firstLine="480"/>
            </w:pPr>
            <w:r>
              <w:rPr>
                <w:rFonts w:hint="eastAsia"/>
              </w:rPr>
              <w:t>本项目在产业园区内，属工业用地，不涉及生态环境保护目标。</w:t>
            </w:r>
          </w:p>
          <w:p>
            <w:pPr>
              <w:pStyle w:val="67"/>
              <w:rPr>
                <w:b/>
                <w:bCs/>
                <w:lang w:eastAsia="zh-CN"/>
              </w:rPr>
            </w:pPr>
            <w:r>
              <w:rPr>
                <w:rFonts w:hint="eastAsia"/>
                <w:b/>
                <w:bCs/>
                <w:lang w:eastAsia="zh-CN"/>
              </w:rPr>
              <w:t>表</w:t>
            </w:r>
            <w:r>
              <w:rPr>
                <w:b/>
                <w:bCs/>
                <w:lang w:eastAsia="zh-CN"/>
              </w:rPr>
              <w:t xml:space="preserve">3-2    </w:t>
            </w:r>
            <w:r>
              <w:rPr>
                <w:rFonts w:hint="eastAsia"/>
                <w:b/>
                <w:bCs/>
                <w:lang w:eastAsia="zh-CN"/>
              </w:rPr>
              <w:t>环境保护目标一览表</w:t>
            </w:r>
          </w:p>
          <w:tbl>
            <w:tblPr>
              <w:tblStyle w:val="2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525"/>
              <w:gridCol w:w="1172"/>
              <w:gridCol w:w="883"/>
              <w:gridCol w:w="914"/>
              <w:gridCol w:w="1169"/>
              <w:gridCol w:w="1924"/>
              <w:gridCol w:w="649"/>
              <w:gridCol w:w="71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0" w:hRule="atLeast"/>
                <w:jc w:val="center"/>
              </w:trPr>
              <w:tc>
                <w:tcPr>
                  <w:tcW w:w="385" w:type="pct"/>
                  <w:vAlign w:val="center"/>
                </w:tcPr>
                <w:p>
                  <w:pPr>
                    <w:pStyle w:val="88"/>
                    <w:rPr>
                      <w:b/>
                      <w:bCs/>
                    </w:rPr>
                  </w:pPr>
                  <w:bookmarkStart w:id="261" w:name="_Hlk139812825"/>
                  <w:r>
                    <w:rPr>
                      <w:b/>
                      <w:bCs/>
                    </w:rPr>
                    <w:t>名称</w:t>
                  </w:r>
                </w:p>
              </w:tc>
              <w:tc>
                <w:tcPr>
                  <w:tcW w:w="792" w:type="pct"/>
                  <w:vAlign w:val="center"/>
                </w:tcPr>
                <w:p>
                  <w:pPr>
                    <w:pStyle w:val="88"/>
                    <w:rPr>
                      <w:b/>
                      <w:bCs/>
                    </w:rPr>
                  </w:pPr>
                  <w:r>
                    <w:rPr>
                      <w:rFonts w:hint="eastAsia"/>
                      <w:b/>
                      <w:bCs/>
                    </w:rPr>
                    <w:t>保护目标名称</w:t>
                  </w:r>
                </w:p>
              </w:tc>
              <w:tc>
                <w:tcPr>
                  <w:tcW w:w="610" w:type="pct"/>
                  <w:vAlign w:val="center"/>
                </w:tcPr>
                <w:p>
                  <w:pPr>
                    <w:pStyle w:val="88"/>
                    <w:rPr>
                      <w:b/>
                      <w:bCs/>
                    </w:rPr>
                  </w:pPr>
                  <w:r>
                    <w:rPr>
                      <w:rFonts w:hint="eastAsia"/>
                      <w:b/>
                      <w:bCs/>
                    </w:rPr>
                    <w:t>坐标</w:t>
                  </w:r>
                </w:p>
              </w:tc>
              <w:tc>
                <w:tcPr>
                  <w:tcW w:w="630" w:type="pct"/>
                  <w:vAlign w:val="center"/>
                </w:tcPr>
                <w:p>
                  <w:pPr>
                    <w:pStyle w:val="88"/>
                    <w:rPr>
                      <w:b/>
                      <w:bCs/>
                    </w:rPr>
                  </w:pPr>
                  <w:r>
                    <w:rPr>
                      <w:b/>
                      <w:bCs/>
                    </w:rPr>
                    <w:t>保护对象</w:t>
                  </w:r>
                </w:p>
              </w:tc>
              <w:tc>
                <w:tcPr>
                  <w:tcW w:w="790" w:type="pct"/>
                  <w:vAlign w:val="center"/>
                </w:tcPr>
                <w:p>
                  <w:pPr>
                    <w:pStyle w:val="88"/>
                    <w:rPr>
                      <w:b/>
                      <w:bCs/>
                    </w:rPr>
                  </w:pPr>
                  <w:r>
                    <w:rPr>
                      <w:b/>
                      <w:bCs/>
                    </w:rPr>
                    <w:t>保护内容</w:t>
                  </w:r>
                </w:p>
              </w:tc>
              <w:tc>
                <w:tcPr>
                  <w:tcW w:w="828" w:type="pct"/>
                  <w:vAlign w:val="center"/>
                </w:tcPr>
                <w:p>
                  <w:pPr>
                    <w:pStyle w:val="88"/>
                    <w:rPr>
                      <w:b/>
                      <w:bCs/>
                    </w:rPr>
                  </w:pPr>
                  <w:r>
                    <w:rPr>
                      <w:b/>
                      <w:bCs/>
                    </w:rPr>
                    <w:t>环境功能区</w:t>
                  </w:r>
                </w:p>
              </w:tc>
              <w:tc>
                <w:tcPr>
                  <w:tcW w:w="463" w:type="pct"/>
                  <w:vAlign w:val="center"/>
                </w:tcPr>
                <w:p>
                  <w:pPr>
                    <w:pStyle w:val="88"/>
                    <w:rPr>
                      <w:b/>
                      <w:bCs/>
                    </w:rPr>
                  </w:pPr>
                  <w:r>
                    <w:rPr>
                      <w:b/>
                      <w:bCs/>
                    </w:rPr>
                    <w:t>相对厂址方位</w:t>
                  </w:r>
                </w:p>
              </w:tc>
              <w:tc>
                <w:tcPr>
                  <w:tcW w:w="502" w:type="pct"/>
                  <w:vAlign w:val="center"/>
                </w:tcPr>
                <w:p>
                  <w:pPr>
                    <w:pStyle w:val="88"/>
                    <w:rPr>
                      <w:b/>
                      <w:bCs/>
                    </w:rPr>
                  </w:pPr>
                  <w:r>
                    <w:rPr>
                      <w:b/>
                      <w:bCs/>
                    </w:rPr>
                    <w:t>相对厂界距离/m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0" w:hRule="atLeast"/>
                <w:jc w:val="center"/>
              </w:trPr>
              <w:tc>
                <w:tcPr>
                  <w:tcW w:w="385" w:type="pct"/>
                  <w:vAlign w:val="center"/>
                </w:tcPr>
                <w:p>
                  <w:pPr>
                    <w:pStyle w:val="88"/>
                  </w:pPr>
                  <w:r>
                    <w:rPr>
                      <w:rFonts w:hint="eastAsia"/>
                    </w:rPr>
                    <w:t>大气环境</w:t>
                  </w:r>
                </w:p>
              </w:tc>
              <w:tc>
                <w:tcPr>
                  <w:tcW w:w="2822" w:type="pct"/>
                  <w:gridSpan w:val="4"/>
                  <w:vAlign w:val="center"/>
                </w:tcPr>
                <w:p>
                  <w:pPr>
                    <w:pStyle w:val="88"/>
                  </w:pPr>
                  <w:r>
                    <w:rPr>
                      <w:rFonts w:hint="eastAsia"/>
                    </w:rPr>
                    <w:t>本项目厂界外500m范围内无大气环境保护目标</w:t>
                  </w:r>
                </w:p>
              </w:tc>
              <w:tc>
                <w:tcPr>
                  <w:tcW w:w="828" w:type="pct"/>
                  <w:vAlign w:val="center"/>
                </w:tcPr>
                <w:p>
                  <w:pPr>
                    <w:pStyle w:val="88"/>
                  </w:pPr>
                  <w:r>
                    <w:rPr>
                      <w:rFonts w:hint="eastAsia"/>
                    </w:rPr>
                    <w:t>《环境空气质量标准》（GB</w:t>
                  </w:r>
                  <w:r>
                    <w:t>3095-2012</w:t>
                  </w:r>
                  <w:r>
                    <w:rPr>
                      <w:rFonts w:hint="eastAsia"/>
                    </w:rPr>
                    <w:t>）二类区</w:t>
                  </w:r>
                </w:p>
              </w:tc>
              <w:tc>
                <w:tcPr>
                  <w:tcW w:w="463" w:type="pct"/>
                  <w:vAlign w:val="center"/>
                </w:tcPr>
                <w:p>
                  <w:pPr>
                    <w:pStyle w:val="88"/>
                  </w:pPr>
                  <w:r>
                    <w:rPr>
                      <w:rFonts w:hint="eastAsia"/>
                    </w:rPr>
                    <w:t>/</w:t>
                  </w:r>
                </w:p>
              </w:tc>
              <w:tc>
                <w:tcPr>
                  <w:tcW w:w="502" w:type="pct"/>
                  <w:vAlign w:val="center"/>
                </w:tcPr>
                <w:p>
                  <w:pPr>
                    <w:pStyle w:val="88"/>
                  </w:pPr>
                  <w:r>
                    <w:rPr>
                      <w:rFonts w:hint="eastAsi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0" w:hRule="atLeast"/>
                <w:jc w:val="center"/>
              </w:trPr>
              <w:tc>
                <w:tcPr>
                  <w:tcW w:w="385" w:type="pct"/>
                  <w:vAlign w:val="center"/>
                </w:tcPr>
                <w:p>
                  <w:pPr>
                    <w:pStyle w:val="88"/>
                  </w:pPr>
                  <w:r>
                    <w:t>声环境</w:t>
                  </w:r>
                </w:p>
              </w:tc>
              <w:tc>
                <w:tcPr>
                  <w:tcW w:w="2822" w:type="pct"/>
                  <w:gridSpan w:val="4"/>
                  <w:vAlign w:val="center"/>
                </w:tcPr>
                <w:p>
                  <w:pPr>
                    <w:pStyle w:val="88"/>
                  </w:pPr>
                  <w:r>
                    <w:rPr>
                      <w:rFonts w:hint="eastAsia"/>
                    </w:rPr>
                    <w:t>本项目厂界外50m范围内无声环境敏感目标</w:t>
                  </w:r>
                </w:p>
              </w:tc>
              <w:tc>
                <w:tcPr>
                  <w:tcW w:w="828" w:type="pct"/>
                  <w:vAlign w:val="center"/>
                </w:tcPr>
                <w:p>
                  <w:pPr>
                    <w:pStyle w:val="88"/>
                  </w:pPr>
                  <w:r>
                    <w:rPr>
                      <w:rFonts w:hint="eastAsia"/>
                    </w:rPr>
                    <w:t>《声环境质量标准》（GB</w:t>
                  </w:r>
                  <w:r>
                    <w:t>3096-2008</w:t>
                  </w:r>
                  <w:r>
                    <w:rPr>
                      <w:rFonts w:hint="eastAsia"/>
                    </w:rPr>
                    <w:t>）3类区</w:t>
                  </w:r>
                </w:p>
              </w:tc>
              <w:tc>
                <w:tcPr>
                  <w:tcW w:w="463" w:type="pct"/>
                  <w:vAlign w:val="center"/>
                </w:tcPr>
                <w:p>
                  <w:pPr>
                    <w:pStyle w:val="88"/>
                  </w:pPr>
                  <w:r>
                    <w:rPr>
                      <w:rFonts w:hint="eastAsia"/>
                    </w:rPr>
                    <w:t>/</w:t>
                  </w:r>
                </w:p>
              </w:tc>
              <w:tc>
                <w:tcPr>
                  <w:tcW w:w="502" w:type="pct"/>
                  <w:vAlign w:val="center"/>
                </w:tcPr>
                <w:p>
                  <w:pPr>
                    <w:pStyle w:val="88"/>
                  </w:pPr>
                  <w:r>
                    <w:rPr>
                      <w:rFonts w:hint="eastAsi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0" w:hRule="atLeast"/>
                <w:jc w:val="center"/>
              </w:trPr>
              <w:tc>
                <w:tcPr>
                  <w:tcW w:w="385" w:type="pct"/>
                  <w:vAlign w:val="center"/>
                </w:tcPr>
                <w:p>
                  <w:pPr>
                    <w:pStyle w:val="88"/>
                  </w:pPr>
                  <w:r>
                    <w:rPr>
                      <w:rFonts w:hint="eastAsia"/>
                    </w:rPr>
                    <w:t>地下水环境</w:t>
                  </w:r>
                </w:p>
              </w:tc>
              <w:tc>
                <w:tcPr>
                  <w:tcW w:w="2822" w:type="pct"/>
                  <w:gridSpan w:val="4"/>
                  <w:vAlign w:val="center"/>
                </w:tcPr>
                <w:p>
                  <w:pPr>
                    <w:pStyle w:val="88"/>
                  </w:pPr>
                  <w:r>
                    <w:t>厂界外500m范围内不存在地下水集中式饮用水水源和</w:t>
                  </w:r>
                  <w:r>
                    <w:rPr>
                      <w:rFonts w:hint="eastAsia"/>
                    </w:rPr>
                    <w:t>热水</w:t>
                  </w:r>
                  <w:r>
                    <w:t>、矿泉水、温泉等地下水环境敏感目标</w:t>
                  </w:r>
                </w:p>
              </w:tc>
              <w:tc>
                <w:tcPr>
                  <w:tcW w:w="828" w:type="pct"/>
                  <w:vAlign w:val="center"/>
                </w:tcPr>
                <w:p>
                  <w:pPr>
                    <w:pStyle w:val="88"/>
                  </w:pPr>
                  <w:r>
                    <w:rPr>
                      <w:rFonts w:hint="eastAsia"/>
                    </w:rPr>
                    <w:t>《地下水质量标准》（GB</w:t>
                  </w:r>
                  <w:r>
                    <w:t>/</w:t>
                  </w:r>
                  <w:r>
                    <w:rPr>
                      <w:rFonts w:hint="eastAsia"/>
                    </w:rPr>
                    <w:t>T</w:t>
                  </w:r>
                  <w:r>
                    <w:t>14848-2017</w:t>
                  </w:r>
                  <w:r>
                    <w:rPr>
                      <w:rFonts w:hint="eastAsia"/>
                    </w:rPr>
                    <w:t>）III类</w:t>
                  </w:r>
                </w:p>
              </w:tc>
              <w:tc>
                <w:tcPr>
                  <w:tcW w:w="463" w:type="pct"/>
                  <w:vAlign w:val="center"/>
                </w:tcPr>
                <w:p>
                  <w:pPr>
                    <w:pStyle w:val="88"/>
                  </w:pPr>
                  <w:r>
                    <w:rPr>
                      <w:rFonts w:hint="eastAsia"/>
                    </w:rPr>
                    <w:t>/</w:t>
                  </w:r>
                </w:p>
              </w:tc>
              <w:tc>
                <w:tcPr>
                  <w:tcW w:w="502" w:type="pct"/>
                  <w:vAlign w:val="center"/>
                </w:tcPr>
                <w:p>
                  <w:pPr>
                    <w:pStyle w:val="88"/>
                  </w:pPr>
                  <w:r>
                    <w:rPr>
                      <w:rFonts w:hint="eastAsi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20" w:hRule="atLeast"/>
                <w:jc w:val="center"/>
              </w:trPr>
              <w:tc>
                <w:tcPr>
                  <w:tcW w:w="385" w:type="pct"/>
                  <w:vAlign w:val="center"/>
                </w:tcPr>
                <w:p>
                  <w:pPr>
                    <w:pStyle w:val="88"/>
                  </w:pPr>
                  <w:r>
                    <w:rPr>
                      <w:rFonts w:hint="eastAsia"/>
                    </w:rPr>
                    <w:t>生态环境</w:t>
                  </w:r>
                </w:p>
              </w:tc>
              <w:tc>
                <w:tcPr>
                  <w:tcW w:w="4615" w:type="pct"/>
                  <w:gridSpan w:val="7"/>
                  <w:vAlign w:val="center"/>
                </w:tcPr>
                <w:p>
                  <w:pPr>
                    <w:pStyle w:val="88"/>
                  </w:pPr>
                  <w:r>
                    <w:rPr>
                      <w:rFonts w:hint="eastAsia"/>
                    </w:rPr>
                    <w:t>本项目在产业园区内，属工业用地，不涉及生态环境保护目标</w:t>
                  </w:r>
                </w:p>
              </w:tc>
            </w:tr>
            <w:bookmarkEnd w:id="260"/>
            <w:bookmarkEnd w:id="261"/>
          </w:tbl>
          <w:p>
            <w:pPr>
              <w:pStyle w:val="81"/>
              <w:ind w:firstLine="480"/>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23" w:hRule="atLeast"/>
          <w:jc w:val="center"/>
        </w:trPr>
        <w:tc>
          <w:tcPr>
            <w:tcW w:w="901" w:type="dxa"/>
            <w:tcMar>
              <w:left w:w="28" w:type="dxa"/>
              <w:right w:w="28" w:type="dxa"/>
            </w:tcMar>
            <w:vAlign w:val="center"/>
          </w:tcPr>
          <w:p>
            <w:pPr>
              <w:pStyle w:val="89"/>
              <w:rPr>
                <w:rFonts w:hint="default"/>
                <w:color w:val="auto"/>
                <w:sz w:val="32"/>
                <w:szCs w:val="24"/>
              </w:rPr>
            </w:pPr>
            <w:r>
              <w:rPr>
                <w:color w:val="auto"/>
                <w:sz w:val="32"/>
                <w:szCs w:val="24"/>
              </w:rPr>
              <w:t>污染</w:t>
            </w:r>
          </w:p>
          <w:p>
            <w:pPr>
              <w:pStyle w:val="89"/>
              <w:rPr>
                <w:rFonts w:hint="default"/>
                <w:color w:val="auto"/>
                <w:sz w:val="32"/>
                <w:szCs w:val="24"/>
              </w:rPr>
            </w:pPr>
            <w:r>
              <w:rPr>
                <w:color w:val="auto"/>
                <w:sz w:val="32"/>
                <w:szCs w:val="24"/>
              </w:rPr>
              <w:t>物排</w:t>
            </w:r>
          </w:p>
          <w:p>
            <w:pPr>
              <w:pStyle w:val="89"/>
              <w:rPr>
                <w:rFonts w:hint="default"/>
                <w:color w:val="auto"/>
                <w:sz w:val="32"/>
                <w:szCs w:val="24"/>
              </w:rPr>
            </w:pPr>
            <w:r>
              <w:rPr>
                <w:color w:val="auto"/>
                <w:sz w:val="32"/>
                <w:szCs w:val="24"/>
              </w:rPr>
              <w:t>放控</w:t>
            </w:r>
          </w:p>
          <w:p>
            <w:pPr>
              <w:pStyle w:val="89"/>
              <w:rPr>
                <w:rFonts w:hint="default"/>
                <w:color w:val="auto"/>
                <w:sz w:val="32"/>
                <w:szCs w:val="24"/>
              </w:rPr>
            </w:pPr>
            <w:r>
              <w:rPr>
                <w:color w:val="auto"/>
                <w:sz w:val="32"/>
                <w:szCs w:val="24"/>
              </w:rPr>
              <w:t>制标</w:t>
            </w:r>
          </w:p>
          <w:p>
            <w:pPr>
              <w:pStyle w:val="89"/>
              <w:rPr>
                <w:rFonts w:hint="default"/>
                <w:color w:val="auto"/>
                <w:sz w:val="32"/>
                <w:szCs w:val="24"/>
              </w:rPr>
            </w:pPr>
            <w:r>
              <w:rPr>
                <w:color w:val="auto"/>
                <w:sz w:val="32"/>
                <w:szCs w:val="24"/>
              </w:rPr>
              <w:t>准</w:t>
            </w:r>
          </w:p>
        </w:tc>
        <w:tc>
          <w:tcPr>
            <w:tcW w:w="8164" w:type="dxa"/>
          </w:tcPr>
          <w:p>
            <w:pPr>
              <w:pStyle w:val="92"/>
              <w:numPr>
                <w:ilvl w:val="0"/>
                <w:numId w:val="13"/>
              </w:numPr>
              <w:spacing w:before="120"/>
              <w:rPr>
                <w:rFonts w:hint="default"/>
                <w:color w:val="auto"/>
              </w:rPr>
            </w:pPr>
            <w:r>
              <w:rPr>
                <w:rFonts w:hint="default"/>
                <w:color w:val="auto"/>
              </w:rPr>
              <w:t>废气排放标准</w:t>
            </w:r>
          </w:p>
          <w:p>
            <w:pPr>
              <w:pStyle w:val="81"/>
              <w:ind w:firstLine="480"/>
            </w:pPr>
            <w:r>
              <w:rPr>
                <w:rFonts w:hint="eastAsia"/>
              </w:rPr>
              <w:t>本项目施工期生产过程产生的无组织颗粒物排放执行《大气污染物综合排放标准》（</w:t>
            </w:r>
            <w:r>
              <w:t>GB16297-1996</w:t>
            </w:r>
            <w:r>
              <w:rPr>
                <w:rFonts w:hint="eastAsia"/>
              </w:rPr>
              <w:t>）表</w:t>
            </w:r>
            <w:r>
              <w:t>2</w:t>
            </w:r>
            <w:r>
              <w:rPr>
                <w:rFonts w:hint="eastAsia"/>
              </w:rPr>
              <w:t>新污染源大气污染物排放限值中无组织排放监控浓度限值。</w:t>
            </w:r>
          </w:p>
          <w:p>
            <w:pPr>
              <w:pStyle w:val="81"/>
              <w:ind w:firstLine="480"/>
            </w:pPr>
            <w:r>
              <w:rPr>
                <w:rFonts w:hint="eastAsia"/>
              </w:rPr>
              <w:t>本项目运营期</w:t>
            </w:r>
            <w:r>
              <w:t>使用原料含水量较多，平均含水量约为45%-50</w:t>
            </w:r>
            <w:bookmarkStart w:id="262" w:name="OLE_LINK194"/>
            <w:bookmarkStart w:id="263" w:name="OLE_LINK206"/>
            <w:r>
              <w:t>%</w:t>
            </w:r>
            <w:bookmarkEnd w:id="262"/>
            <w:bookmarkEnd w:id="263"/>
            <w:r>
              <w:t>，且原料存储在全封闭原料库内，因此产尘量很小</w:t>
            </w:r>
            <w:r>
              <w:rPr>
                <w:rFonts w:hint="eastAsia"/>
              </w:rPr>
              <w:t>，忽略不计。</w:t>
            </w:r>
          </w:p>
          <w:p>
            <w:pPr>
              <w:pStyle w:val="88"/>
              <w:rPr>
                <w:b/>
                <w:bCs/>
              </w:rPr>
            </w:pPr>
            <w:r>
              <w:rPr>
                <w:rFonts w:hint="eastAsia"/>
                <w:b/>
                <w:bCs/>
              </w:rPr>
              <w:t>表</w:t>
            </w:r>
            <w:r>
              <w:rPr>
                <w:b/>
                <w:bCs/>
              </w:rPr>
              <w:t xml:space="preserve">3-3  </w:t>
            </w:r>
            <w:r>
              <w:rPr>
                <w:rFonts w:hint="eastAsia"/>
                <w:b/>
                <w:bCs/>
              </w:rPr>
              <w:t>污染物最高允许排放浓度</w:t>
            </w:r>
          </w:p>
          <w:tbl>
            <w:tblPr>
              <w:tblStyle w:val="23"/>
              <w:tblW w:w="4999"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2113"/>
              <w:gridCol w:w="3505"/>
              <w:gridCol w:w="2318"/>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331" w:type="pct"/>
                  <w:vMerge w:val="restart"/>
                  <w:tcBorders>
                    <w:top w:val="single" w:color="auto" w:sz="12" w:space="0"/>
                    <w:left w:val="nil"/>
                    <w:bottom w:val="single" w:color="auto" w:sz="6" w:space="0"/>
                    <w:right w:val="single" w:color="auto" w:sz="6" w:space="0"/>
                  </w:tcBorders>
                  <w:tcMar>
                    <w:top w:w="0" w:type="dxa"/>
                    <w:left w:w="28" w:type="dxa"/>
                    <w:bottom w:w="0" w:type="dxa"/>
                    <w:right w:w="28" w:type="dxa"/>
                  </w:tcMar>
                  <w:vAlign w:val="center"/>
                </w:tcPr>
                <w:p>
                  <w:pPr>
                    <w:pStyle w:val="88"/>
                    <w:rPr>
                      <w:b/>
                    </w:rPr>
                  </w:pPr>
                  <w:r>
                    <w:rPr>
                      <w:rFonts w:hint="eastAsia"/>
                      <w:b/>
                    </w:rPr>
                    <w:t>污染物</w:t>
                  </w:r>
                </w:p>
              </w:tc>
              <w:tc>
                <w:tcPr>
                  <w:tcW w:w="3668" w:type="pct"/>
                  <w:gridSpan w:val="2"/>
                  <w:tcBorders>
                    <w:top w:val="single" w:color="auto" w:sz="12" w:space="0"/>
                    <w:left w:val="single" w:color="auto" w:sz="6" w:space="0"/>
                    <w:bottom w:val="single" w:color="auto" w:sz="6" w:space="0"/>
                    <w:right w:val="nil"/>
                  </w:tcBorders>
                  <w:tcMar>
                    <w:top w:w="0" w:type="dxa"/>
                    <w:left w:w="28" w:type="dxa"/>
                    <w:bottom w:w="0" w:type="dxa"/>
                    <w:right w:w="28" w:type="dxa"/>
                  </w:tcMar>
                  <w:vAlign w:val="center"/>
                </w:tcPr>
                <w:p>
                  <w:pPr>
                    <w:pStyle w:val="88"/>
                    <w:rPr>
                      <w:b/>
                    </w:rPr>
                  </w:pPr>
                  <w:r>
                    <w:rPr>
                      <w:rFonts w:hint="eastAsia"/>
                      <w:b/>
                    </w:rPr>
                    <w:t>无组织排放监控浓度限值</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0" w:type="auto"/>
                  <w:vMerge w:val="continue"/>
                  <w:tcBorders>
                    <w:top w:val="single" w:color="auto" w:sz="4" w:space="0"/>
                    <w:left w:val="nil"/>
                    <w:bottom w:val="single" w:color="auto" w:sz="6" w:space="0"/>
                    <w:right w:val="single" w:color="auto" w:sz="6" w:space="0"/>
                  </w:tcBorders>
                  <w:vAlign w:val="center"/>
                </w:tcPr>
                <w:p>
                  <w:pPr>
                    <w:pStyle w:val="88"/>
                    <w:rPr>
                      <w:bCs/>
                    </w:rPr>
                  </w:pPr>
                </w:p>
              </w:tc>
              <w:tc>
                <w:tcPr>
                  <w:tcW w:w="2208" w:type="pct"/>
                  <w:tcBorders>
                    <w:top w:val="single" w:color="auto" w:sz="6" w:space="0"/>
                    <w:left w:val="single" w:color="auto" w:sz="6" w:space="0"/>
                    <w:bottom w:val="single" w:color="auto" w:sz="6" w:space="0"/>
                    <w:right w:val="single" w:color="auto" w:sz="6" w:space="0"/>
                  </w:tcBorders>
                  <w:tcMar>
                    <w:top w:w="0" w:type="dxa"/>
                    <w:left w:w="28" w:type="dxa"/>
                    <w:bottom w:w="0" w:type="dxa"/>
                    <w:right w:w="28" w:type="dxa"/>
                  </w:tcMar>
                  <w:vAlign w:val="center"/>
                </w:tcPr>
                <w:p>
                  <w:pPr>
                    <w:pStyle w:val="88"/>
                    <w:rPr>
                      <w:b/>
                    </w:rPr>
                  </w:pPr>
                  <w:r>
                    <w:rPr>
                      <w:rFonts w:hint="eastAsia"/>
                      <w:b/>
                    </w:rPr>
                    <w:t>监控点</w:t>
                  </w:r>
                </w:p>
              </w:tc>
              <w:tc>
                <w:tcPr>
                  <w:tcW w:w="1460" w:type="pct"/>
                  <w:tcBorders>
                    <w:top w:val="single" w:color="auto" w:sz="6" w:space="0"/>
                    <w:left w:val="single" w:color="auto" w:sz="6" w:space="0"/>
                    <w:bottom w:val="single" w:color="auto" w:sz="6" w:space="0"/>
                    <w:right w:val="nil"/>
                  </w:tcBorders>
                  <w:tcMar>
                    <w:top w:w="0" w:type="dxa"/>
                    <w:left w:w="28" w:type="dxa"/>
                    <w:bottom w:w="0" w:type="dxa"/>
                    <w:right w:w="28" w:type="dxa"/>
                  </w:tcMar>
                  <w:vAlign w:val="center"/>
                </w:tcPr>
                <w:p>
                  <w:pPr>
                    <w:pStyle w:val="88"/>
                    <w:rPr>
                      <w:b/>
                    </w:rPr>
                  </w:pPr>
                  <w:r>
                    <w:rPr>
                      <w:rFonts w:hint="eastAsia"/>
                      <w:b/>
                    </w:rPr>
                    <w:t>浓度</w:t>
                  </w:r>
                  <w:r>
                    <w:rPr>
                      <w:b/>
                    </w:rPr>
                    <w:t>(mg/m³)</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331" w:type="pct"/>
                  <w:tcBorders>
                    <w:top w:val="single" w:color="auto" w:sz="6" w:space="0"/>
                    <w:left w:val="nil"/>
                    <w:bottom w:val="single" w:color="auto" w:sz="12" w:space="0"/>
                    <w:right w:val="single" w:color="auto" w:sz="6" w:space="0"/>
                  </w:tcBorders>
                  <w:tcMar>
                    <w:top w:w="0" w:type="dxa"/>
                    <w:left w:w="28" w:type="dxa"/>
                    <w:bottom w:w="0" w:type="dxa"/>
                    <w:right w:w="28" w:type="dxa"/>
                  </w:tcMar>
                  <w:vAlign w:val="center"/>
                </w:tcPr>
                <w:p>
                  <w:pPr>
                    <w:pStyle w:val="88"/>
                    <w:rPr>
                      <w:bCs/>
                    </w:rPr>
                  </w:pPr>
                  <w:r>
                    <w:rPr>
                      <w:rFonts w:hint="eastAsia"/>
                      <w:bCs/>
                    </w:rPr>
                    <w:t>颗粒物</w:t>
                  </w:r>
                </w:p>
              </w:tc>
              <w:tc>
                <w:tcPr>
                  <w:tcW w:w="2208" w:type="pct"/>
                  <w:tcBorders>
                    <w:top w:val="single" w:color="auto" w:sz="6" w:space="0"/>
                    <w:left w:val="single" w:color="auto" w:sz="6" w:space="0"/>
                    <w:bottom w:val="single" w:color="auto" w:sz="12" w:space="0"/>
                    <w:right w:val="single" w:color="auto" w:sz="6" w:space="0"/>
                  </w:tcBorders>
                  <w:tcMar>
                    <w:top w:w="0" w:type="dxa"/>
                    <w:left w:w="28" w:type="dxa"/>
                    <w:bottom w:w="0" w:type="dxa"/>
                    <w:right w:w="28" w:type="dxa"/>
                  </w:tcMar>
                  <w:vAlign w:val="center"/>
                </w:tcPr>
                <w:p>
                  <w:pPr>
                    <w:pStyle w:val="88"/>
                    <w:rPr>
                      <w:bCs/>
                    </w:rPr>
                  </w:pPr>
                  <w:r>
                    <w:rPr>
                      <w:rFonts w:hint="eastAsia"/>
                      <w:bCs/>
                    </w:rPr>
                    <w:t>周界外浓度最高点</w:t>
                  </w:r>
                </w:p>
              </w:tc>
              <w:tc>
                <w:tcPr>
                  <w:tcW w:w="1460" w:type="pct"/>
                  <w:tcBorders>
                    <w:top w:val="single" w:color="auto" w:sz="6" w:space="0"/>
                    <w:left w:val="single" w:color="auto" w:sz="6" w:space="0"/>
                    <w:bottom w:val="single" w:color="auto" w:sz="12" w:space="0"/>
                    <w:right w:val="nil"/>
                  </w:tcBorders>
                  <w:tcMar>
                    <w:top w:w="0" w:type="dxa"/>
                    <w:left w:w="28" w:type="dxa"/>
                    <w:bottom w:w="0" w:type="dxa"/>
                    <w:right w:w="28" w:type="dxa"/>
                  </w:tcMar>
                  <w:vAlign w:val="center"/>
                </w:tcPr>
                <w:p>
                  <w:pPr>
                    <w:pStyle w:val="88"/>
                    <w:rPr>
                      <w:bCs/>
                    </w:rPr>
                  </w:pPr>
                  <w:r>
                    <w:rPr>
                      <w:bCs/>
                    </w:rPr>
                    <w:t>1.0</w:t>
                  </w:r>
                </w:p>
              </w:tc>
            </w:tr>
          </w:tbl>
          <w:p>
            <w:pPr>
              <w:pStyle w:val="92"/>
              <w:spacing w:before="120"/>
              <w:rPr>
                <w:rFonts w:hint="default"/>
                <w:color w:val="auto"/>
              </w:rPr>
            </w:pPr>
            <w:r>
              <w:rPr>
                <w:rFonts w:hint="default"/>
                <w:color w:val="auto"/>
              </w:rPr>
              <w:t>废水排放标准</w:t>
            </w:r>
          </w:p>
          <w:p>
            <w:pPr>
              <w:pStyle w:val="81"/>
              <w:ind w:firstLine="480"/>
            </w:pPr>
            <w:r>
              <w:rPr>
                <w:rFonts w:hint="eastAsia"/>
              </w:rPr>
              <w:t>本项目生产废水循环使用，不外排</w:t>
            </w:r>
            <w:r>
              <w:t>。</w:t>
            </w:r>
          </w:p>
          <w:p>
            <w:pPr>
              <w:pStyle w:val="92"/>
              <w:spacing w:before="120"/>
              <w:rPr>
                <w:rFonts w:hint="default"/>
                <w:color w:val="auto"/>
              </w:rPr>
            </w:pPr>
            <w:r>
              <w:rPr>
                <w:rFonts w:hint="default"/>
                <w:color w:val="auto"/>
              </w:rPr>
              <w:t>声环境排放标准</w:t>
            </w:r>
          </w:p>
          <w:p>
            <w:pPr>
              <w:pStyle w:val="81"/>
              <w:ind w:firstLine="480"/>
            </w:pPr>
            <w:r>
              <w:t>施工期噪声执行</w:t>
            </w:r>
            <w:bookmarkStart w:id="264" w:name="OLE_LINK275"/>
            <w:bookmarkStart w:id="265" w:name="OLE_LINK276"/>
            <w:r>
              <w:t>《建筑施工场界环境噪声排放标准》</w:t>
            </w:r>
            <w:bookmarkEnd w:id="264"/>
            <w:bookmarkEnd w:id="265"/>
            <w:r>
              <w:t>（GB12523-2011）中的相关规定，具体标准见表3-4；运营期噪声执行《工业企业厂界环境噪声排放标准》(GB12348-2008)中3类标准，具体标准见表3-5。</w:t>
            </w:r>
          </w:p>
          <w:p>
            <w:pPr>
              <w:pStyle w:val="88"/>
              <w:rPr>
                <w:b/>
                <w:bCs/>
              </w:rPr>
            </w:pPr>
            <w:r>
              <w:rPr>
                <w:b/>
                <w:bCs/>
              </w:rPr>
              <w:t xml:space="preserve">表3-4  《建筑施工场界环境噪声排放标准》（GB12523-2011）     </w:t>
            </w:r>
          </w:p>
          <w:tbl>
            <w:tblPr>
              <w:tblStyle w:val="23"/>
              <w:tblW w:w="0" w:type="auto"/>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3795"/>
              <w:gridCol w:w="3796"/>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7591" w:type="dxa"/>
                  <w:gridSpan w:val="2"/>
                  <w:tcBorders>
                    <w:tl2br w:val="nil"/>
                    <w:tr2bl w:val="nil"/>
                  </w:tcBorders>
                  <w:vAlign w:val="center"/>
                </w:tcPr>
                <w:p>
                  <w:pPr>
                    <w:pStyle w:val="89"/>
                    <w:rPr>
                      <w:rFonts w:hint="default" w:ascii="Times New Roman" w:hAnsi="Times New Roman" w:cs="Times New Roman"/>
                      <w:color w:val="auto"/>
                      <w:sz w:val="21"/>
                    </w:rPr>
                  </w:pPr>
                  <w:r>
                    <w:rPr>
                      <w:rFonts w:hint="default" w:ascii="Times New Roman" w:hAnsi="Times New Roman" w:cs="Times New Roman"/>
                      <w:color w:val="auto"/>
                      <w:sz w:val="21"/>
                    </w:rPr>
                    <w:t>噪声限值Leq [ dB（A）]</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3795" w:type="dxa"/>
                  <w:tcBorders>
                    <w:tl2br w:val="nil"/>
                    <w:tr2bl w:val="nil"/>
                  </w:tcBorders>
                  <w:vAlign w:val="center"/>
                </w:tcPr>
                <w:p>
                  <w:pPr>
                    <w:pStyle w:val="84"/>
                  </w:pPr>
                  <w:r>
                    <w:t>昼间</w:t>
                  </w:r>
                </w:p>
              </w:tc>
              <w:tc>
                <w:tcPr>
                  <w:tcW w:w="3796" w:type="dxa"/>
                  <w:tcBorders>
                    <w:tl2br w:val="nil"/>
                    <w:tr2bl w:val="nil"/>
                  </w:tcBorders>
                  <w:vAlign w:val="center"/>
                </w:tcPr>
                <w:p>
                  <w:pPr>
                    <w:pStyle w:val="84"/>
                  </w:pPr>
                  <w:r>
                    <w:t>夜间</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trPr>
              <w:tc>
                <w:tcPr>
                  <w:tcW w:w="3795" w:type="dxa"/>
                  <w:tcBorders>
                    <w:tl2br w:val="nil"/>
                    <w:tr2bl w:val="nil"/>
                  </w:tcBorders>
                  <w:vAlign w:val="center"/>
                </w:tcPr>
                <w:p>
                  <w:pPr>
                    <w:pStyle w:val="84"/>
                  </w:pPr>
                  <w:r>
                    <w:t>70</w:t>
                  </w:r>
                </w:p>
              </w:tc>
              <w:tc>
                <w:tcPr>
                  <w:tcW w:w="3796" w:type="dxa"/>
                  <w:tcBorders>
                    <w:tl2br w:val="nil"/>
                    <w:tr2bl w:val="nil"/>
                  </w:tcBorders>
                  <w:vAlign w:val="center"/>
                </w:tcPr>
                <w:p>
                  <w:pPr>
                    <w:pStyle w:val="84"/>
                  </w:pPr>
                  <w:r>
                    <w:t>55</w:t>
                  </w:r>
                </w:p>
              </w:tc>
            </w:tr>
          </w:tbl>
          <w:p>
            <w:pPr>
              <w:pStyle w:val="88"/>
              <w:rPr>
                <w:b/>
                <w:bCs/>
              </w:rPr>
            </w:pPr>
            <w:r>
              <w:rPr>
                <w:b/>
                <w:bCs/>
              </w:rPr>
              <w:t>表3-5  《工业企业厂界环境噪声排放标准》（GB12348-2008）</w:t>
            </w:r>
          </w:p>
          <w:tbl>
            <w:tblPr>
              <w:tblStyle w:val="23"/>
              <w:tblW w:w="0" w:type="auto"/>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2251"/>
              <w:gridCol w:w="2670"/>
              <w:gridCol w:w="2670"/>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exact"/>
              </w:trPr>
              <w:tc>
                <w:tcPr>
                  <w:tcW w:w="2251" w:type="dxa"/>
                  <w:vMerge w:val="restart"/>
                  <w:tcBorders>
                    <w:tl2br w:val="nil"/>
                    <w:tr2bl w:val="nil"/>
                  </w:tcBorders>
                  <w:vAlign w:val="center"/>
                </w:tcPr>
                <w:p>
                  <w:pPr>
                    <w:pStyle w:val="89"/>
                    <w:rPr>
                      <w:rFonts w:hint="default" w:ascii="Times New Roman" w:hAnsi="Times New Roman" w:cs="Times New Roman"/>
                      <w:color w:val="auto"/>
                      <w:sz w:val="21"/>
                    </w:rPr>
                  </w:pPr>
                  <w:r>
                    <w:rPr>
                      <w:rFonts w:hint="default" w:ascii="Times New Roman" w:hAnsi="Times New Roman" w:cs="Times New Roman"/>
                      <w:color w:val="auto"/>
                      <w:sz w:val="21"/>
                    </w:rPr>
                    <w:t>类别</w:t>
                  </w:r>
                </w:p>
              </w:tc>
              <w:tc>
                <w:tcPr>
                  <w:tcW w:w="5340" w:type="dxa"/>
                  <w:gridSpan w:val="2"/>
                  <w:tcBorders>
                    <w:tl2br w:val="nil"/>
                    <w:tr2bl w:val="nil"/>
                  </w:tcBorders>
                  <w:vAlign w:val="center"/>
                </w:tcPr>
                <w:p>
                  <w:pPr>
                    <w:pStyle w:val="89"/>
                    <w:rPr>
                      <w:rFonts w:hint="default" w:ascii="Times New Roman" w:hAnsi="Times New Roman" w:cs="Times New Roman"/>
                      <w:color w:val="auto"/>
                      <w:sz w:val="21"/>
                    </w:rPr>
                  </w:pPr>
                  <w:r>
                    <w:rPr>
                      <w:rFonts w:hint="default" w:ascii="Times New Roman" w:hAnsi="Times New Roman" w:cs="Times New Roman"/>
                      <w:color w:val="auto"/>
                      <w:sz w:val="21"/>
                    </w:rPr>
                    <w:t>噪声限值Leq [ dB（A）]</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exact"/>
              </w:trPr>
              <w:tc>
                <w:tcPr>
                  <w:tcW w:w="2251" w:type="dxa"/>
                  <w:vMerge w:val="continue"/>
                  <w:tcBorders>
                    <w:tl2br w:val="nil"/>
                    <w:tr2bl w:val="nil"/>
                  </w:tcBorders>
                  <w:vAlign w:val="center"/>
                </w:tcPr>
                <w:p>
                  <w:pPr>
                    <w:pStyle w:val="89"/>
                    <w:rPr>
                      <w:rFonts w:hint="default" w:ascii="Times New Roman" w:hAnsi="Times New Roman" w:cs="Times New Roman"/>
                      <w:color w:val="auto"/>
                      <w:sz w:val="21"/>
                    </w:rPr>
                  </w:pPr>
                </w:p>
              </w:tc>
              <w:tc>
                <w:tcPr>
                  <w:tcW w:w="2670" w:type="dxa"/>
                  <w:tcBorders>
                    <w:tl2br w:val="nil"/>
                    <w:tr2bl w:val="nil"/>
                  </w:tcBorders>
                  <w:vAlign w:val="center"/>
                </w:tcPr>
                <w:p>
                  <w:pPr>
                    <w:pStyle w:val="89"/>
                    <w:rPr>
                      <w:rFonts w:hint="default" w:ascii="Times New Roman" w:hAnsi="Times New Roman" w:cs="Times New Roman"/>
                      <w:color w:val="auto"/>
                      <w:sz w:val="21"/>
                    </w:rPr>
                  </w:pPr>
                  <w:r>
                    <w:rPr>
                      <w:rFonts w:hint="default" w:ascii="Times New Roman" w:hAnsi="Times New Roman" w:cs="Times New Roman"/>
                      <w:color w:val="auto"/>
                      <w:sz w:val="21"/>
                    </w:rPr>
                    <w:t>昼间</w:t>
                  </w:r>
                </w:p>
              </w:tc>
              <w:tc>
                <w:tcPr>
                  <w:tcW w:w="2670" w:type="dxa"/>
                  <w:tcBorders>
                    <w:tl2br w:val="nil"/>
                    <w:tr2bl w:val="nil"/>
                  </w:tcBorders>
                  <w:vAlign w:val="center"/>
                </w:tcPr>
                <w:p>
                  <w:pPr>
                    <w:pStyle w:val="89"/>
                    <w:rPr>
                      <w:rFonts w:hint="default" w:ascii="Times New Roman" w:hAnsi="Times New Roman" w:cs="Times New Roman"/>
                      <w:color w:val="auto"/>
                      <w:sz w:val="21"/>
                    </w:rPr>
                  </w:pPr>
                  <w:r>
                    <w:rPr>
                      <w:rFonts w:hint="default" w:ascii="Times New Roman" w:hAnsi="Times New Roman" w:cs="Times New Roman"/>
                      <w:color w:val="auto"/>
                      <w:sz w:val="21"/>
                    </w:rPr>
                    <w:t>夜间</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exact"/>
              </w:trPr>
              <w:tc>
                <w:tcPr>
                  <w:tcW w:w="2251" w:type="dxa"/>
                  <w:tcBorders>
                    <w:tl2br w:val="nil"/>
                    <w:tr2bl w:val="nil"/>
                  </w:tcBorders>
                  <w:vAlign w:val="center"/>
                </w:tcPr>
                <w:p>
                  <w:pPr>
                    <w:pStyle w:val="84"/>
                  </w:pPr>
                  <w:r>
                    <w:t>3</w:t>
                  </w:r>
                </w:p>
              </w:tc>
              <w:tc>
                <w:tcPr>
                  <w:tcW w:w="2670" w:type="dxa"/>
                  <w:tcBorders>
                    <w:tl2br w:val="nil"/>
                    <w:tr2bl w:val="nil"/>
                  </w:tcBorders>
                  <w:vAlign w:val="center"/>
                </w:tcPr>
                <w:p>
                  <w:pPr>
                    <w:pStyle w:val="84"/>
                  </w:pPr>
                  <w:r>
                    <w:t>65</w:t>
                  </w:r>
                </w:p>
              </w:tc>
              <w:tc>
                <w:tcPr>
                  <w:tcW w:w="2670" w:type="dxa"/>
                  <w:tcBorders>
                    <w:tl2br w:val="nil"/>
                    <w:tr2bl w:val="nil"/>
                  </w:tcBorders>
                  <w:vAlign w:val="center"/>
                </w:tcPr>
                <w:p>
                  <w:pPr>
                    <w:pStyle w:val="84"/>
                  </w:pPr>
                  <w:r>
                    <w:t>55</w:t>
                  </w:r>
                </w:p>
              </w:tc>
            </w:tr>
          </w:tbl>
          <w:p>
            <w:pPr>
              <w:pStyle w:val="92"/>
              <w:spacing w:before="120"/>
              <w:rPr>
                <w:rFonts w:hint="default"/>
                <w:color w:val="auto"/>
              </w:rPr>
            </w:pPr>
            <w:r>
              <w:rPr>
                <w:rFonts w:hint="default"/>
                <w:color w:val="auto"/>
              </w:rPr>
              <w:t>固体废弃物排放标准</w:t>
            </w:r>
          </w:p>
          <w:p>
            <w:pPr>
              <w:pStyle w:val="81"/>
              <w:ind w:firstLine="480"/>
            </w:pPr>
            <w:r>
              <w:t>本项目工业固废执行《一般工业固体废物贮存和填埋污染控制标准》（GB18599-2020）的相关规定；</w:t>
            </w:r>
          </w:p>
          <w:p>
            <w:pPr>
              <w:pStyle w:val="81"/>
              <w:ind w:firstLine="480"/>
            </w:pPr>
            <w:r>
              <w:t>项目产生的危险废弃物按照《危险废物贮存污染控制标准》（GB18597-2023）中的相关规定执行。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22" w:hRule="atLeast"/>
          <w:jc w:val="center"/>
        </w:trPr>
        <w:tc>
          <w:tcPr>
            <w:tcW w:w="901" w:type="dxa"/>
            <w:vAlign w:val="center"/>
          </w:tcPr>
          <w:p>
            <w:pPr>
              <w:pStyle w:val="89"/>
              <w:rPr>
                <w:rFonts w:hint="default"/>
                <w:color w:val="auto"/>
                <w:sz w:val="32"/>
                <w:szCs w:val="24"/>
              </w:rPr>
            </w:pPr>
            <w:r>
              <w:rPr>
                <w:color w:val="auto"/>
                <w:sz w:val="32"/>
                <w:szCs w:val="24"/>
              </w:rPr>
              <w:t>总量</w:t>
            </w:r>
          </w:p>
          <w:p>
            <w:pPr>
              <w:pStyle w:val="89"/>
              <w:rPr>
                <w:rFonts w:hint="default"/>
                <w:color w:val="auto"/>
                <w:sz w:val="32"/>
                <w:szCs w:val="24"/>
              </w:rPr>
            </w:pPr>
            <w:r>
              <w:rPr>
                <w:color w:val="auto"/>
                <w:sz w:val="32"/>
                <w:szCs w:val="24"/>
              </w:rPr>
              <w:t>控制</w:t>
            </w:r>
          </w:p>
          <w:p>
            <w:pPr>
              <w:pStyle w:val="89"/>
              <w:rPr>
                <w:rFonts w:hint="default"/>
                <w:color w:val="auto"/>
                <w:sz w:val="32"/>
                <w:szCs w:val="24"/>
              </w:rPr>
            </w:pPr>
            <w:r>
              <w:rPr>
                <w:color w:val="auto"/>
                <w:sz w:val="32"/>
                <w:szCs w:val="24"/>
              </w:rPr>
              <w:t>指标</w:t>
            </w:r>
          </w:p>
        </w:tc>
        <w:tc>
          <w:tcPr>
            <w:tcW w:w="8164" w:type="dxa"/>
          </w:tcPr>
          <w:p>
            <w:pPr>
              <w:adjustRightInd w:val="0"/>
              <w:snapToGrid w:val="0"/>
              <w:spacing w:before="120" w:beforeLines="50" w:line="360" w:lineRule="auto"/>
              <w:ind w:firstLine="480" w:firstLineChars="200"/>
              <w:rPr>
                <w:rFonts w:ascii="Times New Roman" w:hAnsi="Times New Roman" w:eastAsia="宋体" w:cs="Times New Roman"/>
                <w:kern w:val="0"/>
                <w:sz w:val="24"/>
              </w:rPr>
            </w:pPr>
            <w:r>
              <w:rPr>
                <w:rFonts w:ascii="Times New Roman" w:hAnsi="Times New Roman" w:eastAsia="宋体" w:cs="Times New Roman"/>
                <w:kern w:val="0"/>
                <w:sz w:val="24"/>
              </w:rPr>
              <w:t>无。</w:t>
            </w:r>
          </w:p>
        </w:tc>
      </w:tr>
    </w:tbl>
    <w:p>
      <w:pPr>
        <w:pStyle w:val="90"/>
        <w:ind w:firstLine="0"/>
        <w:rPr>
          <w:rStyle w:val="91"/>
          <w:rFonts w:hint="default"/>
          <w:b/>
          <w:color w:val="auto"/>
        </w:rPr>
      </w:pPr>
      <w:r>
        <w:rPr>
          <w:color w:val="auto"/>
          <w:sz w:val="36"/>
          <w:szCs w:val="36"/>
        </w:rPr>
        <w:br w:type="page"/>
      </w:r>
      <w:r>
        <w:rPr>
          <w:rStyle w:val="91"/>
          <w:b/>
          <w:color w:val="auto"/>
        </w:rPr>
        <w:t>主要环境影响和保护措施</w:t>
      </w:r>
    </w:p>
    <w:tbl>
      <w:tblPr>
        <w:tblStyle w:val="23"/>
        <w:tblW w:w="906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54"/>
        <w:gridCol w:w="851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70" w:hRule="atLeast"/>
          <w:jc w:val="center"/>
        </w:trPr>
        <w:tc>
          <w:tcPr>
            <w:tcW w:w="901" w:type="dxa"/>
            <w:tcMar>
              <w:left w:w="28" w:type="dxa"/>
              <w:right w:w="28" w:type="dxa"/>
            </w:tcMar>
            <w:vAlign w:val="center"/>
          </w:tcPr>
          <w:p>
            <w:pPr>
              <w:pStyle w:val="89"/>
              <w:rPr>
                <w:rFonts w:hint="default"/>
                <w:color w:val="auto"/>
                <w:sz w:val="32"/>
                <w:szCs w:val="24"/>
              </w:rPr>
            </w:pPr>
            <w:r>
              <w:rPr>
                <w:color w:val="auto"/>
                <w:sz w:val="32"/>
                <w:szCs w:val="24"/>
              </w:rPr>
              <w:t>施工</w:t>
            </w:r>
          </w:p>
          <w:p>
            <w:pPr>
              <w:pStyle w:val="89"/>
              <w:rPr>
                <w:rFonts w:hint="default"/>
                <w:color w:val="auto"/>
                <w:sz w:val="32"/>
                <w:szCs w:val="24"/>
              </w:rPr>
            </w:pPr>
            <w:r>
              <w:rPr>
                <w:color w:val="auto"/>
                <w:sz w:val="32"/>
                <w:szCs w:val="24"/>
              </w:rPr>
              <w:t>期环</w:t>
            </w:r>
          </w:p>
          <w:p>
            <w:pPr>
              <w:pStyle w:val="89"/>
              <w:rPr>
                <w:rFonts w:hint="default"/>
                <w:color w:val="auto"/>
                <w:sz w:val="32"/>
                <w:szCs w:val="24"/>
              </w:rPr>
            </w:pPr>
            <w:r>
              <w:rPr>
                <w:color w:val="auto"/>
                <w:sz w:val="32"/>
                <w:szCs w:val="24"/>
              </w:rPr>
              <w:t>境保</w:t>
            </w:r>
          </w:p>
          <w:p>
            <w:pPr>
              <w:pStyle w:val="89"/>
              <w:rPr>
                <w:rFonts w:hint="default"/>
                <w:color w:val="auto"/>
                <w:sz w:val="32"/>
                <w:szCs w:val="24"/>
              </w:rPr>
            </w:pPr>
            <w:r>
              <w:rPr>
                <w:color w:val="auto"/>
                <w:sz w:val="32"/>
                <w:szCs w:val="24"/>
              </w:rPr>
              <w:t>护措</w:t>
            </w:r>
          </w:p>
          <w:p>
            <w:pPr>
              <w:pStyle w:val="89"/>
              <w:rPr>
                <w:rFonts w:hint="default"/>
                <w:color w:val="auto"/>
                <w:sz w:val="32"/>
                <w:szCs w:val="24"/>
              </w:rPr>
            </w:pPr>
            <w:r>
              <w:rPr>
                <w:color w:val="auto"/>
                <w:sz w:val="32"/>
                <w:szCs w:val="24"/>
              </w:rPr>
              <w:t>施</w:t>
            </w:r>
          </w:p>
        </w:tc>
        <w:tc>
          <w:tcPr>
            <w:tcW w:w="8164" w:type="dxa"/>
          </w:tcPr>
          <w:p>
            <w:pPr>
              <w:snapToGrid w:val="0"/>
              <w:spacing w:before="120" w:beforeLines="50" w:line="360" w:lineRule="auto"/>
              <w:ind w:firstLine="481" w:firstLineChars="200"/>
              <w:rPr>
                <w:rFonts w:ascii="宋体" w:hAnsi="宋体" w:eastAsia="宋体"/>
                <w:b/>
                <w:sz w:val="24"/>
              </w:rPr>
            </w:pPr>
            <w:r>
              <w:rPr>
                <w:rFonts w:hint="eastAsia" w:ascii="宋体" w:hAnsi="宋体" w:eastAsia="宋体"/>
                <w:b/>
                <w:sz w:val="24"/>
              </w:rPr>
              <w:t>一、施工期环境影响分析</w:t>
            </w:r>
          </w:p>
          <w:p>
            <w:pPr>
              <w:snapToGrid w:val="0"/>
              <w:spacing w:line="360" w:lineRule="auto"/>
              <w:ind w:firstLine="480" w:firstLineChars="200"/>
              <w:rPr>
                <w:rFonts w:ascii="宋体" w:hAnsi="宋体" w:eastAsia="宋体"/>
                <w:bCs/>
                <w:sz w:val="24"/>
              </w:rPr>
            </w:pPr>
            <w:bookmarkStart w:id="266" w:name="OLE_LINK73"/>
            <w:bookmarkStart w:id="267" w:name="OLE_LINK72"/>
            <w:r>
              <w:rPr>
                <w:rFonts w:hint="eastAsia" w:ascii="宋体" w:hAnsi="宋体" w:eastAsia="宋体"/>
                <w:bCs/>
                <w:sz w:val="24"/>
              </w:rPr>
              <w:t>本项目建设内容主要为</w:t>
            </w:r>
            <w:r>
              <w:rPr>
                <w:rFonts w:ascii="宋体" w:hAnsi="宋体" w:eastAsia="宋体"/>
                <w:bCs/>
                <w:sz w:val="24"/>
              </w:rPr>
              <w:t>1</w:t>
            </w:r>
            <w:r>
              <w:rPr>
                <w:rFonts w:hint="eastAsia" w:ascii="宋体" w:hAnsi="宋体" w:eastAsia="宋体"/>
                <w:bCs/>
                <w:sz w:val="24"/>
              </w:rPr>
              <w:t>套金属梯级回收设备，建设期施工活动主要是设备安装，施工影响范围主要为厂址及邻近区域。施工过程中产生的污染都是暂时的，随着施工过程的结束，影响也将在短期内消失。施工期环境影响主要从大气环境影响、水环境影响、声环境影响、固体废物环境影响、生态环境影响进行分析。</w:t>
            </w:r>
          </w:p>
          <w:bookmarkEnd w:id="266"/>
          <w:bookmarkEnd w:id="267"/>
          <w:p>
            <w:pPr>
              <w:pStyle w:val="92"/>
              <w:numPr>
                <w:ilvl w:val="0"/>
                <w:numId w:val="0"/>
              </w:numPr>
              <w:spacing w:before="120"/>
              <w:rPr>
                <w:rFonts w:hint="default"/>
                <w:color w:val="auto"/>
              </w:rPr>
            </w:pPr>
            <w:bookmarkStart w:id="268" w:name="OLE_LINK89"/>
            <w:bookmarkStart w:id="269" w:name="OLE_LINK88"/>
            <w:r>
              <w:rPr>
                <w:color w:val="auto"/>
              </w:rPr>
              <w:t>1</w:t>
            </w:r>
            <w:r>
              <w:rPr>
                <w:rFonts w:hint="default"/>
                <w:color w:val="auto"/>
              </w:rPr>
              <w:t>.</w:t>
            </w:r>
            <w:r>
              <w:rPr>
                <w:color w:val="auto"/>
              </w:rPr>
              <w:t>废气</w:t>
            </w:r>
          </w:p>
          <w:bookmarkEnd w:id="268"/>
          <w:bookmarkEnd w:id="269"/>
          <w:p>
            <w:pPr>
              <w:pStyle w:val="100"/>
              <w:numPr>
                <w:ilvl w:val="0"/>
                <w:numId w:val="0"/>
              </w:numPr>
              <w:ind w:left="480"/>
            </w:pPr>
            <w:bookmarkStart w:id="270" w:name="OLE_LINK84"/>
            <w:bookmarkStart w:id="271" w:name="OLE_LINK83"/>
            <w:bookmarkStart w:id="272" w:name="OLE_LINK82"/>
            <w:r>
              <w:rPr>
                <w:rFonts w:hint="eastAsia"/>
              </w:rPr>
              <w:t>施工过程中产生的主要大气污染源为扬尘以及施工机械、运输车辆废气。</w:t>
            </w:r>
          </w:p>
          <w:p>
            <w:pPr>
              <w:pStyle w:val="100"/>
              <w:numPr>
                <w:ilvl w:val="0"/>
                <w:numId w:val="0"/>
              </w:numPr>
              <w:ind w:left="454"/>
            </w:pPr>
            <w:r>
              <w:rPr>
                <w:rFonts w:hint="eastAsia"/>
              </w:rPr>
              <w:t>（</w:t>
            </w:r>
            <w:r>
              <w:t>1</w:t>
            </w:r>
            <w:r>
              <w:rPr>
                <w:rFonts w:hint="eastAsia"/>
              </w:rPr>
              <w:t>）施工期粉尘防治措施分析</w:t>
            </w:r>
          </w:p>
          <w:p>
            <w:pPr>
              <w:pStyle w:val="100"/>
              <w:numPr>
                <w:ilvl w:val="0"/>
                <w:numId w:val="0"/>
              </w:numPr>
              <w:ind w:firstLine="480"/>
            </w:pPr>
            <w:r>
              <w:rPr>
                <w:rFonts w:hint="eastAsia"/>
              </w:rPr>
              <w:t>施工场地四周设置围栏，当起风时，可使影响距离缩短；基础开挖等过程，应洒水使作业面保持一定的湿度；对施工场地内松散、干涸的表土，经常洒水防止扬尘；施工单位必须加强施工区域的管理，建筑材料的堆场应定点定位，不宜设在居住区的上风向，根据风速，采取相应的防尘措施，对散料堆场采用水喷淋防尘，或用蓬布遮盖散料堆。</w:t>
            </w:r>
          </w:p>
          <w:p>
            <w:pPr>
              <w:pStyle w:val="100"/>
              <w:numPr>
                <w:ilvl w:val="0"/>
                <w:numId w:val="0"/>
              </w:numPr>
              <w:ind w:left="480"/>
            </w:pPr>
            <w:r>
              <w:rPr>
                <w:rFonts w:hint="eastAsia"/>
              </w:rPr>
              <w:t>（</w:t>
            </w:r>
            <w:r>
              <w:t>2</w:t>
            </w:r>
            <w:r>
              <w:rPr>
                <w:rFonts w:hint="eastAsia"/>
              </w:rPr>
              <w:t>）施工机械及车辆废气防治措施分析</w:t>
            </w:r>
          </w:p>
          <w:p>
            <w:pPr>
              <w:pStyle w:val="100"/>
              <w:numPr>
                <w:ilvl w:val="0"/>
                <w:numId w:val="0"/>
              </w:numPr>
              <w:ind w:firstLine="480"/>
            </w:pPr>
            <w:r>
              <w:rPr>
                <w:rFonts w:hint="eastAsia"/>
              </w:rPr>
              <w:t>加强对施工机械及车辆的检修和维护，严禁使用超期服役和尾气超标的施工机械及车辆。对施工期间进出施工现场车流量进行合理安排，防止施工现场车流量过大。尽可能使用耗油低，排气小的施工车辆，选用优质燃油，减少机械和车辆的有害废气排放</w:t>
            </w:r>
            <w:bookmarkEnd w:id="270"/>
            <w:r>
              <w:rPr>
                <w:rFonts w:hint="eastAsia"/>
              </w:rPr>
              <w:t>。</w:t>
            </w:r>
          </w:p>
          <w:p>
            <w:pPr>
              <w:pStyle w:val="92"/>
              <w:numPr>
                <w:ilvl w:val="0"/>
                <w:numId w:val="0"/>
              </w:numPr>
              <w:spacing w:before="120"/>
              <w:rPr>
                <w:rFonts w:hint="default"/>
                <w:color w:val="auto"/>
              </w:rPr>
            </w:pPr>
            <w:r>
              <w:rPr>
                <w:rFonts w:hint="default"/>
                <w:color w:val="auto"/>
              </w:rPr>
              <w:t>2.</w:t>
            </w:r>
            <w:r>
              <w:rPr>
                <w:color w:val="auto"/>
              </w:rPr>
              <w:t>废水</w:t>
            </w:r>
          </w:p>
          <w:p>
            <w:pPr>
              <w:pStyle w:val="100"/>
              <w:numPr>
                <w:ilvl w:val="0"/>
                <w:numId w:val="0"/>
              </w:numPr>
              <w:ind w:firstLine="480"/>
            </w:pPr>
            <w:r>
              <w:t>场地设沉淀池，将场地施工废水收集沉淀处理后全部回用于周围区域道路降尘用水，禁止排入地表水体系内污染水体。对施工流动机械的冲洗设固定场所，冲洗水进入沉淀池处理后全部回用于周围区域绿化及道路降尘用水，禁止排入地表水体系内污染水体。</w:t>
            </w:r>
            <w:bookmarkStart w:id="273" w:name="_Hlk201586176"/>
            <w:r>
              <w:t>施工过程中产生的生活污水</w:t>
            </w:r>
            <w:r>
              <w:rPr>
                <w:rFonts w:hint="eastAsia"/>
              </w:rPr>
              <w:t>排入厂区化粪池中，</w:t>
            </w:r>
            <w:r>
              <w:rPr>
                <w:rFonts w:hint="eastAsia"/>
                <w:bCs/>
              </w:rPr>
              <w:t>由厂区化粪池处理后排入园区污水处理厂处理</w:t>
            </w:r>
            <w:bookmarkEnd w:id="273"/>
            <w:r>
              <w:t>。施工单位对施工场地用水应严格管理，贯彻“一水多用、重复利用、节约用水”的原则，尽量减少废水的排放量，减轻废水排放对周围环境的影响。</w:t>
            </w:r>
          </w:p>
          <w:p>
            <w:pPr>
              <w:pStyle w:val="92"/>
              <w:numPr>
                <w:ilvl w:val="0"/>
                <w:numId w:val="0"/>
              </w:numPr>
              <w:spacing w:before="120"/>
              <w:rPr>
                <w:rFonts w:hint="default"/>
                <w:color w:val="auto"/>
              </w:rPr>
            </w:pPr>
            <w:r>
              <w:rPr>
                <w:color w:val="auto"/>
              </w:rPr>
              <w:t>3</w:t>
            </w:r>
            <w:r>
              <w:rPr>
                <w:rFonts w:hint="default"/>
                <w:color w:val="auto"/>
              </w:rPr>
              <w:t>.</w:t>
            </w:r>
            <w:r>
              <w:rPr>
                <w:color w:val="auto"/>
              </w:rPr>
              <w:t>噪声</w:t>
            </w:r>
          </w:p>
          <w:bookmarkEnd w:id="271"/>
          <w:bookmarkEnd w:id="272"/>
          <w:p>
            <w:pPr>
              <w:pStyle w:val="100"/>
              <w:numPr>
                <w:ilvl w:val="0"/>
                <w:numId w:val="0"/>
              </w:numPr>
              <w:ind w:firstLine="480"/>
            </w:pPr>
            <w:bookmarkStart w:id="274" w:name="OLE_LINK91"/>
            <w:bookmarkStart w:id="275" w:name="OLE_LINK90"/>
            <w:r>
              <w:rPr>
                <w:rFonts w:hint="eastAsia"/>
              </w:rPr>
              <w:t>（1）</w:t>
            </w:r>
            <w:bookmarkEnd w:id="274"/>
            <w:bookmarkEnd w:id="275"/>
            <w:r>
              <w:rPr>
                <w:rFonts w:ascii="Times New Roman" w:hAnsi="Times New Roman" w:cs="Times New Roman"/>
              </w:rPr>
              <w:t>合理安排施工时间。要求施工单位在制定施工计划时避免同一时间使用大量高噪声设备施工，确保不同阶段施工场界噪声达到</w:t>
            </w:r>
            <w:r>
              <w:rPr>
                <w:color w:val="FF0000"/>
              </w:rPr>
              <w:t>《建筑施工场界环境噪声排放标准》</w:t>
            </w:r>
            <w:r>
              <w:rPr>
                <w:rFonts w:ascii="Times New Roman" w:hAnsi="Times New Roman" w:cs="Times New Roman"/>
              </w:rPr>
              <w:t>（GB12523-2011）</w:t>
            </w:r>
            <w:r>
              <w:t>的有关规定。</w:t>
            </w:r>
          </w:p>
          <w:p>
            <w:pPr>
              <w:pStyle w:val="100"/>
              <w:numPr>
                <w:ilvl w:val="0"/>
                <w:numId w:val="0"/>
              </w:numPr>
              <w:ind w:firstLine="480"/>
            </w:pPr>
            <w:r>
              <w:rPr>
                <w:rFonts w:hint="eastAsia"/>
              </w:rPr>
              <w:t>（</w:t>
            </w:r>
            <w:r>
              <w:t>2</w:t>
            </w:r>
            <w:r>
              <w:rPr>
                <w:rFonts w:hint="eastAsia"/>
              </w:rPr>
              <w:t>）</w:t>
            </w:r>
            <w:r>
              <w:t>合理布局施工场地。避免在同一施工地点安排大量动力机械设备，避免局部声级过高。</w:t>
            </w:r>
          </w:p>
          <w:p>
            <w:pPr>
              <w:pStyle w:val="100"/>
              <w:numPr>
                <w:ilvl w:val="0"/>
                <w:numId w:val="0"/>
              </w:numPr>
              <w:ind w:firstLine="454"/>
            </w:pPr>
            <w:r>
              <w:rPr>
                <w:rFonts w:hint="eastAsia"/>
              </w:rPr>
              <w:t>（</w:t>
            </w:r>
            <w:r>
              <w:t>3</w:t>
            </w:r>
            <w:r>
              <w:rPr>
                <w:rFonts w:hint="eastAsia"/>
              </w:rPr>
              <w:t>）</w:t>
            </w:r>
            <w:r>
              <w:t>选用低噪声施工机械及施工工艺，对动力机械设备进行定期维修、养护；暂不使用的设备应立即关闭。</w:t>
            </w:r>
          </w:p>
          <w:p>
            <w:pPr>
              <w:pStyle w:val="100"/>
              <w:numPr>
                <w:ilvl w:val="0"/>
                <w:numId w:val="0"/>
              </w:numPr>
              <w:ind w:firstLine="454"/>
            </w:pPr>
            <w:r>
              <w:rPr>
                <w:rFonts w:hint="eastAsia"/>
              </w:rPr>
              <w:t>（</w:t>
            </w:r>
            <w:r>
              <w:t>4</w:t>
            </w:r>
            <w:r>
              <w:rPr>
                <w:rFonts w:hint="eastAsia"/>
              </w:rPr>
              <w:t>）</w:t>
            </w:r>
            <w:r>
              <w:t>合理安排施工运输车辆的运输路线和运输时间，施工运输线路尽量避开集中居住区。同时加强施工车辆的管理，在出入项目施工场地期间应减速慢行，禁止鸣笛。</w:t>
            </w:r>
          </w:p>
          <w:p>
            <w:pPr>
              <w:pStyle w:val="100"/>
              <w:numPr>
                <w:ilvl w:val="0"/>
                <w:numId w:val="0"/>
              </w:numPr>
              <w:ind w:firstLine="454"/>
            </w:pPr>
            <w:r>
              <w:rPr>
                <w:rFonts w:hint="eastAsia"/>
              </w:rPr>
              <w:t>（</w:t>
            </w:r>
            <w:r>
              <w:t>5</w:t>
            </w:r>
            <w:r>
              <w:rPr>
                <w:rFonts w:hint="eastAsia"/>
              </w:rPr>
              <w:t>）</w:t>
            </w:r>
            <w:r>
              <w:t>降低人为噪音，按规范操作机械设备；在模板、支架拆卸过程中遵守作业规定，减少碰撞噪音。</w:t>
            </w:r>
          </w:p>
          <w:p>
            <w:pPr>
              <w:pStyle w:val="100"/>
              <w:numPr>
                <w:ilvl w:val="0"/>
                <w:numId w:val="0"/>
              </w:numPr>
              <w:ind w:firstLine="454"/>
            </w:pPr>
            <w:r>
              <w:rPr>
                <w:rFonts w:hint="eastAsia"/>
              </w:rPr>
              <w:t>（</w:t>
            </w:r>
            <w:r>
              <w:t>6</w:t>
            </w:r>
            <w:r>
              <w:rPr>
                <w:rFonts w:hint="eastAsia"/>
              </w:rPr>
              <w:t>）</w:t>
            </w:r>
            <w:r>
              <w:rPr>
                <w:rFonts w:ascii="Times New Roman" w:hAnsi="Times New Roman" w:cs="Times New Roman"/>
              </w:rPr>
              <w:t>施工期间不得在22:00以后、6:00以前进行</w:t>
            </w:r>
            <w:r>
              <w:t>高噪声作业。</w:t>
            </w:r>
          </w:p>
          <w:p>
            <w:pPr>
              <w:pStyle w:val="92"/>
              <w:numPr>
                <w:ilvl w:val="0"/>
                <w:numId w:val="0"/>
              </w:numPr>
              <w:spacing w:before="120"/>
              <w:rPr>
                <w:rFonts w:hint="default"/>
                <w:color w:val="auto"/>
              </w:rPr>
            </w:pPr>
            <w:r>
              <w:rPr>
                <w:color w:val="auto"/>
              </w:rPr>
              <w:t>4</w:t>
            </w:r>
            <w:r>
              <w:rPr>
                <w:rFonts w:hint="default"/>
                <w:color w:val="auto"/>
              </w:rPr>
              <w:t>.</w:t>
            </w:r>
            <w:r>
              <w:rPr>
                <w:color w:val="auto"/>
              </w:rPr>
              <w:t>固废</w:t>
            </w:r>
          </w:p>
          <w:p>
            <w:pPr>
              <w:pStyle w:val="100"/>
              <w:numPr>
                <w:ilvl w:val="0"/>
                <w:numId w:val="0"/>
              </w:numPr>
              <w:ind w:firstLine="454"/>
            </w:pPr>
            <w:r>
              <w:rPr>
                <w:rFonts w:hint="eastAsia"/>
              </w:rPr>
              <w:t>施工期的固体废弃物主要建筑垃圾和生活垃圾。主要处理措施：首先</w:t>
            </w:r>
            <w:bookmarkStart w:id="276" w:name="_Hlk201586210"/>
            <w:r>
              <w:rPr>
                <w:rFonts w:hint="eastAsia"/>
              </w:rPr>
              <w:t>对建筑垃圾中可回收利用部分进行回收，不能回收利用的妥善处置。建设单位在设置生活垃圾箱（桶），生活垃圾固定地点堆放，分类收集，定期由当地环卫部门运往指定垃圾场卫生填埋处理</w:t>
            </w:r>
            <w:bookmarkEnd w:id="276"/>
            <w:r>
              <w:rPr>
                <w:rFonts w:hint="eastAsia"/>
              </w:rPr>
              <w:t>。施工期建筑垃圾与生活垃圾分类收集、分别处置。</w:t>
            </w:r>
          </w:p>
          <w:p>
            <w:pPr>
              <w:pStyle w:val="100"/>
              <w:numPr>
                <w:ilvl w:val="0"/>
                <w:numId w:val="0"/>
              </w:numPr>
              <w:ind w:firstLine="454"/>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684" w:hRule="atLeast"/>
          <w:jc w:val="center"/>
        </w:trPr>
        <w:tc>
          <w:tcPr>
            <w:tcW w:w="901" w:type="dxa"/>
            <w:tcMar>
              <w:left w:w="28" w:type="dxa"/>
              <w:right w:w="28" w:type="dxa"/>
            </w:tcMar>
            <w:vAlign w:val="center"/>
          </w:tcPr>
          <w:p>
            <w:pPr>
              <w:pStyle w:val="89"/>
              <w:rPr>
                <w:rFonts w:hint="default" w:cs="Times New Roman"/>
                <w:color w:val="auto"/>
                <w:sz w:val="32"/>
                <w:szCs w:val="24"/>
              </w:rPr>
            </w:pPr>
            <w:r>
              <w:rPr>
                <w:rFonts w:cs="Times New Roman"/>
                <w:color w:val="auto"/>
                <w:sz w:val="32"/>
                <w:szCs w:val="24"/>
              </w:rPr>
              <w:t>运营</w:t>
            </w:r>
          </w:p>
          <w:p>
            <w:pPr>
              <w:pStyle w:val="89"/>
              <w:rPr>
                <w:rFonts w:hint="default" w:cs="Times New Roman"/>
                <w:color w:val="auto"/>
                <w:sz w:val="32"/>
                <w:szCs w:val="24"/>
              </w:rPr>
            </w:pPr>
            <w:r>
              <w:rPr>
                <w:rFonts w:cs="Times New Roman"/>
                <w:color w:val="auto"/>
                <w:sz w:val="32"/>
                <w:szCs w:val="24"/>
              </w:rPr>
              <w:t>期环</w:t>
            </w:r>
          </w:p>
          <w:p>
            <w:pPr>
              <w:pStyle w:val="89"/>
              <w:rPr>
                <w:rFonts w:hint="default" w:cs="Times New Roman"/>
                <w:color w:val="auto"/>
                <w:sz w:val="32"/>
                <w:szCs w:val="24"/>
              </w:rPr>
            </w:pPr>
            <w:r>
              <w:rPr>
                <w:rFonts w:cs="Times New Roman"/>
                <w:color w:val="auto"/>
                <w:sz w:val="32"/>
                <w:szCs w:val="24"/>
              </w:rPr>
              <w:t>境影</w:t>
            </w:r>
          </w:p>
          <w:p>
            <w:pPr>
              <w:pStyle w:val="89"/>
              <w:rPr>
                <w:rFonts w:hint="default" w:cs="Times New Roman"/>
                <w:color w:val="auto"/>
                <w:sz w:val="32"/>
                <w:szCs w:val="24"/>
              </w:rPr>
            </w:pPr>
            <w:r>
              <w:rPr>
                <w:rFonts w:cs="Times New Roman"/>
                <w:color w:val="auto"/>
                <w:sz w:val="32"/>
                <w:szCs w:val="24"/>
              </w:rPr>
              <w:t>响和</w:t>
            </w:r>
          </w:p>
          <w:p>
            <w:pPr>
              <w:pStyle w:val="89"/>
              <w:rPr>
                <w:rFonts w:hint="default" w:cs="Times New Roman"/>
                <w:color w:val="auto"/>
                <w:sz w:val="32"/>
                <w:szCs w:val="24"/>
              </w:rPr>
            </w:pPr>
            <w:r>
              <w:rPr>
                <w:rFonts w:cs="Times New Roman"/>
                <w:color w:val="auto"/>
                <w:sz w:val="32"/>
                <w:szCs w:val="24"/>
              </w:rPr>
              <w:t>保护</w:t>
            </w:r>
          </w:p>
          <w:p>
            <w:pPr>
              <w:pStyle w:val="89"/>
              <w:rPr>
                <w:rFonts w:hint="default" w:cs="Times New Roman"/>
                <w:color w:val="auto"/>
                <w:sz w:val="32"/>
                <w:szCs w:val="24"/>
              </w:rPr>
            </w:pPr>
            <w:r>
              <w:rPr>
                <w:rFonts w:cs="Times New Roman"/>
                <w:color w:val="auto"/>
                <w:sz w:val="32"/>
                <w:szCs w:val="24"/>
              </w:rPr>
              <w:t>措施</w:t>
            </w:r>
          </w:p>
        </w:tc>
        <w:tc>
          <w:tcPr>
            <w:tcW w:w="8164" w:type="dxa"/>
          </w:tcPr>
          <w:p>
            <w:pPr>
              <w:pStyle w:val="92"/>
              <w:numPr>
                <w:ilvl w:val="0"/>
                <w:numId w:val="14"/>
              </w:numPr>
              <w:spacing w:before="120"/>
              <w:rPr>
                <w:rFonts w:hint="default"/>
                <w:color w:val="auto"/>
              </w:rPr>
            </w:pPr>
            <w:r>
              <w:rPr>
                <w:rFonts w:hint="default"/>
                <w:color w:val="auto"/>
              </w:rPr>
              <w:t>废气</w:t>
            </w:r>
          </w:p>
          <w:p>
            <w:pPr>
              <w:pStyle w:val="82"/>
              <w:rPr>
                <w:rFonts w:hint="default"/>
              </w:rPr>
            </w:pPr>
            <w:bookmarkStart w:id="277" w:name="OLE_LINK66"/>
            <w:bookmarkStart w:id="278" w:name="OLE_LINK65"/>
            <w:r>
              <w:t>本项目所</w:t>
            </w:r>
            <w:bookmarkStart w:id="279" w:name="OLE_LINK70"/>
            <w:bookmarkStart w:id="280" w:name="OLE_LINK71"/>
            <w:r>
              <w:t>使用原料含水量较多，平均含水量约为</w:t>
            </w:r>
            <w:r>
              <w:rPr>
                <w:rFonts w:hint="default" w:ascii="Times New Roman" w:hAnsi="Times New Roman" w:cs="Times New Roman"/>
              </w:rPr>
              <w:t>45%-50%</w:t>
            </w:r>
            <w:r>
              <w:t>，且原料存储在全封闭原料库内，因此产尘量很小</w:t>
            </w:r>
            <w:bookmarkEnd w:id="279"/>
            <w:bookmarkEnd w:id="280"/>
            <w:r>
              <w:t>，</w:t>
            </w:r>
            <w:r>
              <w:rPr>
                <w:bCs/>
              </w:rPr>
              <w:t>对周边大气环境影响较小，</w:t>
            </w:r>
            <w:r>
              <w:t>忽略不计。</w:t>
            </w:r>
          </w:p>
          <w:bookmarkEnd w:id="277"/>
          <w:bookmarkEnd w:id="278"/>
          <w:p>
            <w:pPr>
              <w:pStyle w:val="92"/>
              <w:spacing w:before="120"/>
              <w:rPr>
                <w:rFonts w:hint="default"/>
                <w:color w:val="auto"/>
              </w:rPr>
            </w:pPr>
            <w:r>
              <w:rPr>
                <w:rFonts w:hint="default"/>
                <w:color w:val="auto"/>
              </w:rPr>
              <w:t>废水</w:t>
            </w:r>
          </w:p>
          <w:p>
            <w:pPr>
              <w:pStyle w:val="94"/>
              <w:numPr>
                <w:ilvl w:val="0"/>
                <w:numId w:val="0"/>
              </w:numPr>
              <w:ind w:firstLine="480" w:firstLineChars="200"/>
              <w:rPr>
                <w:rFonts w:ascii="Times New Roman" w:hAnsi="Times New Roman" w:cs="Times New Roman"/>
                <w:b w:val="0"/>
                <w:bCs w:val="0"/>
                <w:color w:val="auto"/>
              </w:rPr>
            </w:pPr>
            <w:r>
              <w:rPr>
                <w:rFonts w:ascii="Times New Roman" w:hAnsi="Times New Roman" w:cs="Times New Roman"/>
                <w:b w:val="0"/>
                <w:bCs w:val="0"/>
              </w:rPr>
              <w:t>本项目废水循环使用不外排。</w:t>
            </w:r>
            <w:r>
              <w:rPr>
                <w:rFonts w:hint="eastAsia" w:ascii="Times New Roman" w:hAnsi="Times New Roman" w:cs="Times New Roman"/>
                <w:b w:val="0"/>
                <w:bCs w:val="0"/>
                <w:highlight w:val="yellow"/>
              </w:rPr>
              <w:t>根据企业设计</w:t>
            </w:r>
            <w:r>
              <w:rPr>
                <w:rFonts w:ascii="Times New Roman" w:hAnsi="Times New Roman" w:cs="Times New Roman"/>
                <w:b w:val="0"/>
                <w:bCs w:val="0"/>
              </w:rPr>
              <w:t>，循环水量约为101.31</w:t>
            </w:r>
            <w:r>
              <w:rPr>
                <w:rFonts w:hint="eastAsia" w:ascii="Times New Roman" w:hAnsi="Times New Roman" w:cs="Times New Roman"/>
                <w:b w:val="0"/>
                <w:bCs w:val="0"/>
              </w:rPr>
              <w:t>t</w:t>
            </w:r>
            <w:r>
              <w:rPr>
                <w:rFonts w:ascii="Times New Roman" w:hAnsi="Times New Roman" w:cs="Times New Roman"/>
                <w:b w:val="0"/>
                <w:bCs w:val="0"/>
              </w:rPr>
              <w:t>/d</w:t>
            </w:r>
            <w:r>
              <w:rPr>
                <w:rFonts w:hint="eastAsia" w:ascii="Times New Roman" w:hAnsi="Times New Roman" w:cs="Times New Roman"/>
                <w:b w:val="0"/>
                <w:bCs w:val="0"/>
              </w:rPr>
              <w:t>，</w:t>
            </w:r>
            <w:r>
              <w:rPr>
                <w:rFonts w:ascii="Times New Roman" w:hAnsi="Times New Roman" w:cs="Times New Roman"/>
                <w:b w:val="0"/>
                <w:bCs w:val="0"/>
              </w:rPr>
              <w:t>经废水循环池沉淀后用泵打入混料桶循环使用。</w:t>
            </w:r>
            <w:r>
              <w:rPr>
                <w:rFonts w:hint="eastAsia" w:ascii="Times New Roman" w:hAnsi="Times New Roman" w:cs="Times New Roman"/>
                <w:b w:val="0"/>
                <w:bCs w:val="0"/>
              </w:rPr>
              <w:t>废水循环池底泥定期清理，回用于生产，压滤水循环利用具有可行性</w:t>
            </w:r>
            <w:r>
              <w:rPr>
                <w:b w:val="0"/>
                <w:bCs w:val="0"/>
              </w:rPr>
              <w:t xml:space="preserve">。 </w:t>
            </w:r>
          </w:p>
          <w:p>
            <w:pPr>
              <w:pStyle w:val="92"/>
              <w:spacing w:before="120"/>
              <w:rPr>
                <w:rFonts w:hint="default"/>
                <w:color w:val="auto"/>
              </w:rPr>
            </w:pPr>
            <w:r>
              <w:rPr>
                <w:rFonts w:hint="default"/>
                <w:color w:val="auto"/>
              </w:rPr>
              <w:t>噪声</w:t>
            </w:r>
          </w:p>
          <w:p>
            <w:pPr>
              <w:pStyle w:val="82"/>
              <w:rPr>
                <w:rFonts w:hint="default"/>
                <w:bCs/>
              </w:rPr>
            </w:pPr>
            <w:r>
              <w:t>本项目主要噪声为混料桶、球磨机、分级设备、磁选机、浮选机、搅拌装置、</w:t>
            </w:r>
            <w:bookmarkStart w:id="281" w:name="OLE_LINK102"/>
            <w:bookmarkStart w:id="282" w:name="OLE_LINK101"/>
            <w:r>
              <w:t>金属产品分级装置</w:t>
            </w:r>
            <w:bookmarkEnd w:id="281"/>
            <w:bookmarkEnd w:id="282"/>
            <w:r>
              <w:t>、</w:t>
            </w:r>
            <w:bookmarkStart w:id="283" w:name="OLE_LINK103"/>
            <w:bookmarkStart w:id="284" w:name="OLE_LINK104"/>
            <w:r>
              <w:t>压滤机</w:t>
            </w:r>
            <w:bookmarkEnd w:id="283"/>
            <w:bookmarkEnd w:id="284"/>
            <w:r>
              <w:t>等生产设备产生的噪声，</w:t>
            </w:r>
            <w:r>
              <w:rPr>
                <w:rFonts w:hint="default" w:ascii="Times New Roman" w:hAnsi="Times New Roman" w:cs="Times New Roman"/>
              </w:rPr>
              <w:t>声压级为65-90dB（A）。通过选用低噪声设备，基础减震并经距离</w:t>
            </w:r>
            <w:r>
              <w:t>衰减后降噪效果良好，对周围环境影响较小。</w:t>
            </w:r>
            <w:r>
              <w:rPr>
                <w:kern w:val="0"/>
              </w:rPr>
              <w:t>项目噪声污染源源强核算结果及相关参数见</w:t>
            </w:r>
            <w:r>
              <w:rPr>
                <w:bCs/>
              </w:rPr>
              <w:t>下表。</w:t>
            </w:r>
          </w:p>
          <w:p>
            <w:pPr>
              <w:pStyle w:val="89"/>
              <w:rPr>
                <w:rFonts w:hint="default"/>
                <w:color w:val="auto"/>
              </w:rPr>
            </w:pPr>
            <w:r>
              <w:rPr>
                <w:color w:val="auto"/>
              </w:rPr>
              <w:t>表4</w:t>
            </w:r>
            <w:r>
              <w:rPr>
                <w:rFonts w:hint="default"/>
                <w:color w:val="auto"/>
              </w:rPr>
              <w:t>-1</w:t>
            </w:r>
            <w:r>
              <w:rPr>
                <w:highlight w:val="yellow"/>
              </w:rPr>
              <w:t>噪声污染源源强核算结果及相关参数一览表（室内）</w:t>
            </w:r>
          </w:p>
          <w:tbl>
            <w:tblPr>
              <w:tblStyle w:val="2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20"/>
              <w:gridCol w:w="529"/>
              <w:gridCol w:w="984"/>
              <w:gridCol w:w="531"/>
              <w:gridCol w:w="649"/>
              <w:gridCol w:w="531"/>
              <w:gridCol w:w="423"/>
              <w:gridCol w:w="408"/>
              <w:gridCol w:w="292"/>
              <w:gridCol w:w="334"/>
              <w:gridCol w:w="707"/>
              <w:gridCol w:w="453"/>
              <w:gridCol w:w="707"/>
              <w:gridCol w:w="798"/>
              <w:gridCol w:w="62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78" w:hRule="atLeast"/>
                <w:jc w:val="center"/>
              </w:trPr>
              <w:tc>
                <w:tcPr>
                  <w:tcW w:w="193" w:type="pct"/>
                  <w:vMerge w:val="restart"/>
                  <w:tcBorders>
                    <w:top w:val="single" w:color="auto" w:sz="12" w:space="0"/>
                    <w:left w:val="nil"/>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bookmarkStart w:id="285" w:name="OLE_LINK159"/>
                  <w:bookmarkStart w:id="286" w:name="OLE_LINK160"/>
                  <w:r>
                    <w:rPr>
                      <w:rFonts w:ascii="Times New Roman" w:hAnsi="Times New Roman" w:eastAsia="宋体" w:cs="Times New Roman"/>
                      <w:bCs/>
                      <w:szCs w:val="21"/>
                    </w:rPr>
                    <w:t>建筑物名称</w:t>
                  </w:r>
                </w:p>
              </w:tc>
              <w:tc>
                <w:tcPr>
                  <w:tcW w:w="319" w:type="pct"/>
                  <w:vMerge w:val="restart"/>
                  <w:tcBorders>
                    <w:top w:val="single" w:color="auto" w:sz="12"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声源名称</w:t>
                  </w:r>
                </w:p>
              </w:tc>
              <w:tc>
                <w:tcPr>
                  <w:tcW w:w="593" w:type="pct"/>
                  <w:vMerge w:val="restart"/>
                  <w:tcBorders>
                    <w:top w:val="single" w:color="auto" w:sz="12"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型号</w:t>
                  </w:r>
                </w:p>
              </w:tc>
              <w:tc>
                <w:tcPr>
                  <w:tcW w:w="320" w:type="pct"/>
                  <w:vMerge w:val="restart"/>
                  <w:tcBorders>
                    <w:top w:val="single" w:color="auto" w:sz="12"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数量（台/套）</w:t>
                  </w:r>
                </w:p>
              </w:tc>
              <w:tc>
                <w:tcPr>
                  <w:tcW w:w="391" w:type="pct"/>
                  <w:tcBorders>
                    <w:top w:val="single" w:color="auto" w:sz="12"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声源源强</w:t>
                  </w:r>
                </w:p>
              </w:tc>
              <w:tc>
                <w:tcPr>
                  <w:tcW w:w="320" w:type="pct"/>
                  <w:vMerge w:val="restart"/>
                  <w:tcBorders>
                    <w:top w:val="single" w:color="auto" w:sz="12"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声源控制措施</w:t>
                  </w:r>
                </w:p>
              </w:tc>
              <w:tc>
                <w:tcPr>
                  <w:tcW w:w="677" w:type="pct"/>
                  <w:gridSpan w:val="3"/>
                  <w:tcBorders>
                    <w:top w:val="single" w:color="auto" w:sz="12"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空间相对位置/m</w:t>
                  </w:r>
                </w:p>
              </w:tc>
              <w:tc>
                <w:tcPr>
                  <w:tcW w:w="201" w:type="pct"/>
                  <w:vMerge w:val="restart"/>
                  <w:tcBorders>
                    <w:top w:val="single" w:color="auto" w:sz="12"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距室内边界距离/m</w:t>
                  </w:r>
                </w:p>
              </w:tc>
              <w:tc>
                <w:tcPr>
                  <w:tcW w:w="426" w:type="pct"/>
                  <w:vMerge w:val="restart"/>
                  <w:tcBorders>
                    <w:top w:val="single" w:color="auto" w:sz="12"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室内边界声级/dB(A)</w:t>
                  </w:r>
                </w:p>
              </w:tc>
              <w:tc>
                <w:tcPr>
                  <w:tcW w:w="273" w:type="pct"/>
                  <w:vMerge w:val="restart"/>
                  <w:tcBorders>
                    <w:top w:val="single" w:color="auto" w:sz="12"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运行时段</w:t>
                  </w:r>
                </w:p>
              </w:tc>
              <w:tc>
                <w:tcPr>
                  <w:tcW w:w="426" w:type="pct"/>
                  <w:vMerge w:val="restart"/>
                  <w:tcBorders>
                    <w:top w:val="single" w:color="auto" w:sz="12"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建筑物插入损失/dB(A)</w:t>
                  </w:r>
                </w:p>
              </w:tc>
              <w:tc>
                <w:tcPr>
                  <w:tcW w:w="860" w:type="pct"/>
                  <w:gridSpan w:val="2"/>
                  <w:tcBorders>
                    <w:top w:val="single" w:color="auto" w:sz="12" w:space="0"/>
                    <w:left w:val="single" w:color="auto" w:sz="4" w:space="0"/>
                    <w:bottom w:val="single" w:color="auto" w:sz="4" w:space="0"/>
                    <w:right w:val="nil"/>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建筑物外噪声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2" w:hRule="atLeast"/>
                <w:jc w:val="center"/>
              </w:trPr>
              <w:tc>
                <w:tcPr>
                  <w:tcW w:w="193" w:type="pct"/>
                  <w:vMerge w:val="continue"/>
                  <w:tcBorders>
                    <w:top w:val="single" w:color="auto" w:sz="12" w:space="0"/>
                    <w:left w:val="nil"/>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p>
              </w:tc>
              <w:tc>
                <w:tcPr>
                  <w:tcW w:w="319" w:type="pct"/>
                  <w:vMerge w:val="continue"/>
                  <w:tcBorders>
                    <w:top w:val="single" w:color="auto" w:sz="12"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p>
              </w:tc>
              <w:tc>
                <w:tcPr>
                  <w:tcW w:w="593" w:type="pct"/>
                  <w:vMerge w:val="continue"/>
                  <w:tcBorders>
                    <w:top w:val="single" w:color="auto" w:sz="12"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p>
              </w:tc>
              <w:tc>
                <w:tcPr>
                  <w:tcW w:w="320" w:type="pct"/>
                  <w:vMerge w:val="continue"/>
                  <w:tcBorders>
                    <w:top w:val="single" w:color="auto" w:sz="12"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p>
              </w:tc>
              <w:tc>
                <w:tcPr>
                  <w:tcW w:w="391"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声功率级dB(A)</w:t>
                  </w:r>
                </w:p>
              </w:tc>
              <w:tc>
                <w:tcPr>
                  <w:tcW w:w="320" w:type="pct"/>
                  <w:vMerge w:val="continue"/>
                  <w:tcBorders>
                    <w:top w:val="single" w:color="auto" w:sz="12"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p>
              </w:tc>
              <w:tc>
                <w:tcPr>
                  <w:tcW w:w="255"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X</w:t>
                  </w:r>
                </w:p>
              </w:tc>
              <w:tc>
                <w:tcPr>
                  <w:tcW w:w="246"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Y</w:t>
                  </w:r>
                </w:p>
              </w:tc>
              <w:tc>
                <w:tcPr>
                  <w:tcW w:w="176"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Z</w:t>
                  </w:r>
                </w:p>
              </w:tc>
              <w:tc>
                <w:tcPr>
                  <w:tcW w:w="201" w:type="pct"/>
                  <w:vMerge w:val="continue"/>
                  <w:tcBorders>
                    <w:top w:val="single" w:color="auto" w:sz="12"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p>
              </w:tc>
              <w:tc>
                <w:tcPr>
                  <w:tcW w:w="426" w:type="pct"/>
                  <w:vMerge w:val="continue"/>
                  <w:tcBorders>
                    <w:top w:val="single" w:color="auto" w:sz="12"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p>
              </w:tc>
              <w:tc>
                <w:tcPr>
                  <w:tcW w:w="273" w:type="pct"/>
                  <w:vMerge w:val="continue"/>
                  <w:tcBorders>
                    <w:top w:val="single" w:color="auto" w:sz="12"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p>
              </w:tc>
              <w:tc>
                <w:tcPr>
                  <w:tcW w:w="426" w:type="pct"/>
                  <w:vMerge w:val="continue"/>
                  <w:tcBorders>
                    <w:top w:val="single" w:color="auto" w:sz="12"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p>
              </w:tc>
              <w:tc>
                <w:tcPr>
                  <w:tcW w:w="481"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声压级/dB(A)</w:t>
                  </w:r>
                </w:p>
              </w:tc>
              <w:tc>
                <w:tcPr>
                  <w:tcW w:w="379" w:type="pct"/>
                  <w:tcBorders>
                    <w:top w:val="single" w:color="auto" w:sz="4" w:space="0"/>
                    <w:left w:val="single" w:color="auto" w:sz="4" w:space="0"/>
                    <w:bottom w:val="single" w:color="auto" w:sz="4" w:space="0"/>
                    <w:right w:val="nil"/>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建筑物外距离(m)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79" w:hRule="atLeast"/>
                <w:jc w:val="center"/>
              </w:trPr>
              <w:tc>
                <w:tcPr>
                  <w:tcW w:w="193" w:type="pct"/>
                  <w:vMerge w:val="restart"/>
                  <w:tcBorders>
                    <w:top w:val="single" w:color="auto" w:sz="4" w:space="0"/>
                    <w:left w:val="nil"/>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全封闭车间</w:t>
                  </w:r>
                </w:p>
              </w:tc>
              <w:tc>
                <w:tcPr>
                  <w:tcW w:w="319"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hint="eastAsia" w:ascii="Times New Roman" w:hAnsi="Times New Roman" w:eastAsia="宋体" w:cs="Times New Roman"/>
                      <w:szCs w:val="21"/>
                    </w:rPr>
                    <w:t>混料桶</w:t>
                  </w:r>
                </w:p>
              </w:tc>
              <w:tc>
                <w:tcPr>
                  <w:tcW w:w="593"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非标</w:t>
                  </w:r>
                </w:p>
              </w:tc>
              <w:tc>
                <w:tcPr>
                  <w:tcW w:w="320"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1</w:t>
                  </w:r>
                </w:p>
              </w:tc>
              <w:tc>
                <w:tcPr>
                  <w:tcW w:w="391"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cs="Times New Roman"/>
                    </w:rPr>
                    <w:t>70</w:t>
                  </w:r>
                </w:p>
              </w:tc>
              <w:tc>
                <w:tcPr>
                  <w:tcW w:w="320" w:type="pct"/>
                  <w:vMerge w:val="restart"/>
                  <w:tcBorders>
                    <w:top w:val="single" w:color="auto" w:sz="4" w:space="0"/>
                    <w:left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定期维护，车间隔声，基础减振</w:t>
                  </w:r>
                </w:p>
              </w:tc>
              <w:tc>
                <w:tcPr>
                  <w:tcW w:w="255"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-10</w:t>
                  </w:r>
                </w:p>
              </w:tc>
              <w:tc>
                <w:tcPr>
                  <w:tcW w:w="246"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-70</w:t>
                  </w:r>
                </w:p>
              </w:tc>
              <w:tc>
                <w:tcPr>
                  <w:tcW w:w="176"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1</w:t>
                  </w:r>
                </w:p>
              </w:tc>
              <w:tc>
                <w:tcPr>
                  <w:tcW w:w="201"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5</w:t>
                  </w:r>
                </w:p>
              </w:tc>
              <w:tc>
                <w:tcPr>
                  <w:tcW w:w="426"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60.35</w:t>
                  </w:r>
                </w:p>
              </w:tc>
              <w:tc>
                <w:tcPr>
                  <w:tcW w:w="273"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昼间</w:t>
                  </w:r>
                </w:p>
              </w:tc>
              <w:tc>
                <w:tcPr>
                  <w:tcW w:w="426"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20</w:t>
                  </w:r>
                </w:p>
              </w:tc>
              <w:tc>
                <w:tcPr>
                  <w:tcW w:w="481"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40.35</w:t>
                  </w:r>
                </w:p>
              </w:tc>
              <w:tc>
                <w:tcPr>
                  <w:tcW w:w="379" w:type="pct"/>
                  <w:vMerge w:val="restart"/>
                  <w:tcBorders>
                    <w:top w:val="single" w:color="auto" w:sz="4" w:space="0"/>
                    <w:left w:val="single" w:color="auto" w:sz="4" w:space="0"/>
                    <w:right w:val="nil"/>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hint="eastAsia" w:ascii="Times New Roman" w:hAnsi="Times New Roman" w:eastAsia="宋体" w:cs="Times New Roman"/>
                      <w:bCs/>
                      <w:szCs w:val="21"/>
                    </w:rPr>
                    <w:t>5</w:t>
                  </w:r>
                  <w:r>
                    <w:rPr>
                      <w:rFonts w:ascii="Times New Roman" w:hAnsi="Times New Roman" w:eastAsia="宋体" w:cs="Times New Roman"/>
                      <w:bCs/>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93" w:type="pct"/>
                  <w:vMerge w:val="continue"/>
                  <w:tcBorders>
                    <w:left w:val="nil"/>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p>
              </w:tc>
              <w:tc>
                <w:tcPr>
                  <w:tcW w:w="319"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hint="eastAsia" w:ascii="Times New Roman" w:hAnsi="Times New Roman" w:eastAsia="宋体" w:cs="Times New Roman"/>
                      <w:szCs w:val="21"/>
                    </w:rPr>
                    <w:t>球磨机</w:t>
                  </w:r>
                </w:p>
              </w:tc>
              <w:tc>
                <w:tcPr>
                  <w:tcW w:w="593"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非标</w:t>
                  </w:r>
                </w:p>
              </w:tc>
              <w:tc>
                <w:tcPr>
                  <w:tcW w:w="320"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1</w:t>
                  </w:r>
                </w:p>
              </w:tc>
              <w:tc>
                <w:tcPr>
                  <w:tcW w:w="391"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cs="Times New Roman"/>
                    </w:rPr>
                    <w:t>85</w:t>
                  </w:r>
                </w:p>
              </w:tc>
              <w:tc>
                <w:tcPr>
                  <w:tcW w:w="320" w:type="pct"/>
                  <w:vMerge w:val="continue"/>
                  <w:tcBorders>
                    <w:left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p>
              </w:tc>
              <w:tc>
                <w:tcPr>
                  <w:tcW w:w="255"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-10</w:t>
                  </w:r>
                </w:p>
              </w:tc>
              <w:tc>
                <w:tcPr>
                  <w:tcW w:w="246"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-65</w:t>
                  </w:r>
                </w:p>
              </w:tc>
              <w:tc>
                <w:tcPr>
                  <w:tcW w:w="176"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1</w:t>
                  </w:r>
                </w:p>
              </w:tc>
              <w:tc>
                <w:tcPr>
                  <w:tcW w:w="201"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5</w:t>
                  </w:r>
                </w:p>
              </w:tc>
              <w:tc>
                <w:tcPr>
                  <w:tcW w:w="426"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71.35</w:t>
                  </w:r>
                </w:p>
              </w:tc>
              <w:tc>
                <w:tcPr>
                  <w:tcW w:w="273"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昼间</w:t>
                  </w:r>
                </w:p>
              </w:tc>
              <w:tc>
                <w:tcPr>
                  <w:tcW w:w="426"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20</w:t>
                  </w:r>
                </w:p>
              </w:tc>
              <w:tc>
                <w:tcPr>
                  <w:tcW w:w="481"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hint="eastAsia" w:ascii="Times New Roman" w:hAnsi="Times New Roman" w:eastAsia="宋体" w:cs="Times New Roman"/>
                      <w:bCs/>
                      <w:szCs w:val="21"/>
                    </w:rPr>
                    <w:t>5</w:t>
                  </w:r>
                  <w:r>
                    <w:rPr>
                      <w:rFonts w:ascii="Times New Roman" w:hAnsi="Times New Roman" w:eastAsia="宋体" w:cs="Times New Roman"/>
                      <w:bCs/>
                      <w:szCs w:val="21"/>
                    </w:rPr>
                    <w:t>1.35</w:t>
                  </w:r>
                </w:p>
              </w:tc>
              <w:tc>
                <w:tcPr>
                  <w:tcW w:w="379" w:type="pct"/>
                  <w:vMerge w:val="continue"/>
                  <w:tcBorders>
                    <w:left w:val="single" w:color="auto" w:sz="4" w:space="0"/>
                    <w:right w:val="nil"/>
                  </w:tcBorders>
                  <w:vAlign w:val="center"/>
                </w:tcPr>
                <w:p>
                  <w:pPr>
                    <w:adjustRightInd w:val="0"/>
                    <w:snapToGrid w:val="0"/>
                    <w:ind w:left="-105" w:leftChars="-50" w:right="-105" w:rightChars="-50"/>
                    <w:jc w:val="center"/>
                    <w:rPr>
                      <w:rFonts w:ascii="Times New Roman" w:hAnsi="Times New Roman" w:eastAsia="宋体" w:cs="Times New Roman"/>
                      <w:bCs/>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93" w:type="pct"/>
                  <w:vMerge w:val="continue"/>
                  <w:tcBorders>
                    <w:left w:val="nil"/>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p>
              </w:tc>
              <w:tc>
                <w:tcPr>
                  <w:tcW w:w="319"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hint="eastAsia" w:ascii="Times New Roman" w:hAnsi="Times New Roman" w:eastAsia="宋体" w:cs="Times New Roman"/>
                      <w:bCs/>
                      <w:szCs w:val="21"/>
                    </w:rPr>
                    <w:t>分级设备</w:t>
                  </w:r>
                </w:p>
              </w:tc>
              <w:tc>
                <w:tcPr>
                  <w:tcW w:w="593"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非标</w:t>
                  </w:r>
                </w:p>
              </w:tc>
              <w:tc>
                <w:tcPr>
                  <w:tcW w:w="320"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1</w:t>
                  </w:r>
                </w:p>
              </w:tc>
              <w:tc>
                <w:tcPr>
                  <w:tcW w:w="391"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cs="Times New Roman"/>
                    </w:rPr>
                    <w:t>65</w:t>
                  </w:r>
                </w:p>
              </w:tc>
              <w:tc>
                <w:tcPr>
                  <w:tcW w:w="320" w:type="pct"/>
                  <w:vMerge w:val="continue"/>
                  <w:tcBorders>
                    <w:left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p>
              </w:tc>
              <w:tc>
                <w:tcPr>
                  <w:tcW w:w="255"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-10</w:t>
                  </w:r>
                </w:p>
              </w:tc>
              <w:tc>
                <w:tcPr>
                  <w:tcW w:w="246"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-60</w:t>
                  </w:r>
                </w:p>
              </w:tc>
              <w:tc>
                <w:tcPr>
                  <w:tcW w:w="176"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1</w:t>
                  </w:r>
                </w:p>
              </w:tc>
              <w:tc>
                <w:tcPr>
                  <w:tcW w:w="201"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5</w:t>
                  </w:r>
                </w:p>
              </w:tc>
              <w:tc>
                <w:tcPr>
                  <w:tcW w:w="426"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56.26</w:t>
                  </w:r>
                </w:p>
              </w:tc>
              <w:tc>
                <w:tcPr>
                  <w:tcW w:w="273"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昼间</w:t>
                  </w:r>
                </w:p>
              </w:tc>
              <w:tc>
                <w:tcPr>
                  <w:tcW w:w="426"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20</w:t>
                  </w:r>
                </w:p>
              </w:tc>
              <w:tc>
                <w:tcPr>
                  <w:tcW w:w="481"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36.26</w:t>
                  </w:r>
                </w:p>
              </w:tc>
              <w:tc>
                <w:tcPr>
                  <w:tcW w:w="379" w:type="pct"/>
                  <w:vMerge w:val="continue"/>
                  <w:tcBorders>
                    <w:left w:val="single" w:color="auto" w:sz="4" w:space="0"/>
                    <w:right w:val="nil"/>
                  </w:tcBorders>
                  <w:vAlign w:val="center"/>
                </w:tcPr>
                <w:p>
                  <w:pPr>
                    <w:adjustRightInd w:val="0"/>
                    <w:snapToGrid w:val="0"/>
                    <w:ind w:left="-105" w:leftChars="-50" w:right="-105" w:rightChars="-50"/>
                    <w:jc w:val="center"/>
                    <w:rPr>
                      <w:rFonts w:ascii="Times New Roman" w:hAnsi="Times New Roman" w:eastAsia="宋体" w:cs="Times New Roman"/>
                      <w:bCs/>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93" w:type="pct"/>
                  <w:vMerge w:val="continue"/>
                  <w:tcBorders>
                    <w:left w:val="nil"/>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p>
              </w:tc>
              <w:tc>
                <w:tcPr>
                  <w:tcW w:w="319"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hint="eastAsia" w:ascii="Times New Roman" w:hAnsi="Times New Roman" w:eastAsia="宋体" w:cs="Times New Roman"/>
                      <w:bCs/>
                      <w:szCs w:val="21"/>
                    </w:rPr>
                    <w:t>磁选机</w:t>
                  </w:r>
                </w:p>
              </w:tc>
              <w:tc>
                <w:tcPr>
                  <w:tcW w:w="593"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非标</w:t>
                  </w:r>
                </w:p>
              </w:tc>
              <w:tc>
                <w:tcPr>
                  <w:tcW w:w="320"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1</w:t>
                  </w:r>
                </w:p>
              </w:tc>
              <w:tc>
                <w:tcPr>
                  <w:tcW w:w="391"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cs="Times New Roman"/>
                    </w:rPr>
                    <w:t>85</w:t>
                  </w:r>
                </w:p>
              </w:tc>
              <w:tc>
                <w:tcPr>
                  <w:tcW w:w="320" w:type="pct"/>
                  <w:vMerge w:val="continue"/>
                  <w:tcBorders>
                    <w:left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p>
              </w:tc>
              <w:tc>
                <w:tcPr>
                  <w:tcW w:w="255"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-10</w:t>
                  </w:r>
                </w:p>
              </w:tc>
              <w:tc>
                <w:tcPr>
                  <w:tcW w:w="246"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-55</w:t>
                  </w:r>
                </w:p>
              </w:tc>
              <w:tc>
                <w:tcPr>
                  <w:tcW w:w="176"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1</w:t>
                  </w:r>
                </w:p>
              </w:tc>
              <w:tc>
                <w:tcPr>
                  <w:tcW w:w="201"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5</w:t>
                  </w:r>
                </w:p>
              </w:tc>
              <w:tc>
                <w:tcPr>
                  <w:tcW w:w="426"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72.96</w:t>
                  </w:r>
                </w:p>
              </w:tc>
              <w:tc>
                <w:tcPr>
                  <w:tcW w:w="273"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昼间</w:t>
                  </w:r>
                </w:p>
              </w:tc>
              <w:tc>
                <w:tcPr>
                  <w:tcW w:w="426"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20</w:t>
                  </w:r>
                </w:p>
              </w:tc>
              <w:tc>
                <w:tcPr>
                  <w:tcW w:w="481"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hint="eastAsia" w:ascii="Times New Roman" w:hAnsi="Times New Roman" w:eastAsia="宋体" w:cs="Times New Roman"/>
                      <w:bCs/>
                      <w:szCs w:val="21"/>
                    </w:rPr>
                    <w:t>5</w:t>
                  </w:r>
                  <w:r>
                    <w:rPr>
                      <w:rFonts w:ascii="Times New Roman" w:hAnsi="Times New Roman" w:eastAsia="宋体" w:cs="Times New Roman"/>
                      <w:bCs/>
                      <w:szCs w:val="21"/>
                    </w:rPr>
                    <w:t>2.96</w:t>
                  </w:r>
                </w:p>
              </w:tc>
              <w:tc>
                <w:tcPr>
                  <w:tcW w:w="379" w:type="pct"/>
                  <w:vMerge w:val="continue"/>
                  <w:tcBorders>
                    <w:left w:val="single" w:color="auto" w:sz="4" w:space="0"/>
                    <w:right w:val="nil"/>
                  </w:tcBorders>
                  <w:vAlign w:val="center"/>
                </w:tcPr>
                <w:p>
                  <w:pPr>
                    <w:adjustRightInd w:val="0"/>
                    <w:snapToGrid w:val="0"/>
                    <w:ind w:left="-105" w:leftChars="-50" w:right="-105" w:rightChars="-50"/>
                    <w:jc w:val="center"/>
                    <w:rPr>
                      <w:rFonts w:ascii="Times New Roman" w:hAnsi="Times New Roman" w:eastAsia="宋体" w:cs="Times New Roman"/>
                      <w:bCs/>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93" w:type="pct"/>
                  <w:vMerge w:val="continue"/>
                  <w:tcBorders>
                    <w:left w:val="nil"/>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p>
              </w:tc>
              <w:tc>
                <w:tcPr>
                  <w:tcW w:w="319"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hint="eastAsia" w:ascii="Times New Roman" w:hAnsi="Times New Roman" w:eastAsia="宋体" w:cs="Times New Roman"/>
                      <w:bCs/>
                      <w:szCs w:val="21"/>
                    </w:rPr>
                    <w:t>浮选机</w:t>
                  </w:r>
                </w:p>
              </w:tc>
              <w:tc>
                <w:tcPr>
                  <w:tcW w:w="593"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非标</w:t>
                  </w:r>
                </w:p>
              </w:tc>
              <w:tc>
                <w:tcPr>
                  <w:tcW w:w="320"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1</w:t>
                  </w:r>
                </w:p>
              </w:tc>
              <w:tc>
                <w:tcPr>
                  <w:tcW w:w="391"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cs="Times New Roman"/>
                    </w:rPr>
                    <w:t>90</w:t>
                  </w:r>
                </w:p>
              </w:tc>
              <w:tc>
                <w:tcPr>
                  <w:tcW w:w="320" w:type="pct"/>
                  <w:vMerge w:val="continue"/>
                  <w:tcBorders>
                    <w:left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p>
              </w:tc>
              <w:tc>
                <w:tcPr>
                  <w:tcW w:w="255"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-10</w:t>
                  </w:r>
                </w:p>
              </w:tc>
              <w:tc>
                <w:tcPr>
                  <w:tcW w:w="246"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-50</w:t>
                  </w:r>
                </w:p>
              </w:tc>
              <w:tc>
                <w:tcPr>
                  <w:tcW w:w="176"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1</w:t>
                  </w:r>
                </w:p>
              </w:tc>
              <w:tc>
                <w:tcPr>
                  <w:tcW w:w="201"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5</w:t>
                  </w:r>
                </w:p>
              </w:tc>
              <w:tc>
                <w:tcPr>
                  <w:tcW w:w="426"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80.56</w:t>
                  </w:r>
                </w:p>
              </w:tc>
              <w:tc>
                <w:tcPr>
                  <w:tcW w:w="273"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昼间</w:t>
                  </w:r>
                </w:p>
              </w:tc>
              <w:tc>
                <w:tcPr>
                  <w:tcW w:w="426"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20</w:t>
                  </w:r>
                </w:p>
              </w:tc>
              <w:tc>
                <w:tcPr>
                  <w:tcW w:w="481"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hint="eastAsia" w:ascii="Times New Roman" w:hAnsi="Times New Roman" w:eastAsia="宋体" w:cs="Times New Roman"/>
                      <w:bCs/>
                      <w:szCs w:val="21"/>
                    </w:rPr>
                    <w:t>6</w:t>
                  </w:r>
                  <w:r>
                    <w:rPr>
                      <w:rFonts w:ascii="Times New Roman" w:hAnsi="Times New Roman" w:eastAsia="宋体" w:cs="Times New Roman"/>
                      <w:bCs/>
                      <w:szCs w:val="21"/>
                    </w:rPr>
                    <w:t>0.56</w:t>
                  </w:r>
                </w:p>
              </w:tc>
              <w:tc>
                <w:tcPr>
                  <w:tcW w:w="379" w:type="pct"/>
                  <w:vMerge w:val="continue"/>
                  <w:tcBorders>
                    <w:left w:val="single" w:color="auto" w:sz="4" w:space="0"/>
                    <w:right w:val="nil"/>
                  </w:tcBorders>
                  <w:vAlign w:val="center"/>
                </w:tcPr>
                <w:p>
                  <w:pPr>
                    <w:adjustRightInd w:val="0"/>
                    <w:snapToGrid w:val="0"/>
                    <w:ind w:left="-105" w:leftChars="-50" w:right="-105" w:rightChars="-50"/>
                    <w:jc w:val="center"/>
                    <w:rPr>
                      <w:rFonts w:ascii="Times New Roman" w:hAnsi="Times New Roman" w:eastAsia="宋体" w:cs="Times New Roman"/>
                      <w:bCs/>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93" w:type="pct"/>
                  <w:vMerge w:val="continue"/>
                  <w:tcBorders>
                    <w:left w:val="nil"/>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p>
              </w:tc>
              <w:tc>
                <w:tcPr>
                  <w:tcW w:w="319"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hint="eastAsia" w:ascii="Times New Roman" w:hAnsi="Times New Roman" w:eastAsia="宋体" w:cs="Times New Roman"/>
                      <w:bCs/>
                      <w:szCs w:val="21"/>
                    </w:rPr>
                    <w:t>搅拌装置</w:t>
                  </w:r>
                </w:p>
              </w:tc>
              <w:tc>
                <w:tcPr>
                  <w:tcW w:w="593"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bookmarkStart w:id="287" w:name="OLE_LINK325"/>
                  <w:bookmarkStart w:id="288" w:name="OLE_LINK324"/>
                  <w:r>
                    <w:rPr>
                      <w:rFonts w:ascii="Times New Roman" w:hAnsi="Times New Roman" w:eastAsia="宋体" w:cs="Times New Roman"/>
                      <w:bCs/>
                      <w:szCs w:val="21"/>
                    </w:rPr>
                    <w:t>非标</w:t>
                  </w:r>
                  <w:bookmarkEnd w:id="287"/>
                  <w:bookmarkEnd w:id="288"/>
                </w:p>
              </w:tc>
              <w:tc>
                <w:tcPr>
                  <w:tcW w:w="320"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1</w:t>
                  </w:r>
                </w:p>
              </w:tc>
              <w:tc>
                <w:tcPr>
                  <w:tcW w:w="391"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cs="Times New Roman"/>
                    </w:rPr>
                    <w:t>85</w:t>
                  </w:r>
                </w:p>
              </w:tc>
              <w:tc>
                <w:tcPr>
                  <w:tcW w:w="320" w:type="pct"/>
                  <w:vMerge w:val="continue"/>
                  <w:tcBorders>
                    <w:left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p>
              </w:tc>
              <w:tc>
                <w:tcPr>
                  <w:tcW w:w="255"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bookmarkStart w:id="289" w:name="OLE_LINK329"/>
                  <w:bookmarkStart w:id="290" w:name="OLE_LINK328"/>
                  <w:r>
                    <w:rPr>
                      <w:rFonts w:ascii="Times New Roman" w:hAnsi="Times New Roman" w:eastAsia="宋体" w:cs="Times New Roman"/>
                      <w:bCs/>
                      <w:szCs w:val="21"/>
                    </w:rPr>
                    <w:t>-10</w:t>
                  </w:r>
                  <w:bookmarkEnd w:id="289"/>
                  <w:bookmarkEnd w:id="290"/>
                </w:p>
              </w:tc>
              <w:tc>
                <w:tcPr>
                  <w:tcW w:w="246"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bookmarkStart w:id="291" w:name="OLE_LINK331"/>
                  <w:bookmarkStart w:id="292" w:name="OLE_LINK330"/>
                  <w:r>
                    <w:rPr>
                      <w:rFonts w:ascii="Times New Roman" w:hAnsi="Times New Roman" w:eastAsia="宋体" w:cs="Times New Roman"/>
                      <w:bCs/>
                      <w:szCs w:val="21"/>
                    </w:rPr>
                    <w:t>-45</w:t>
                  </w:r>
                  <w:bookmarkEnd w:id="291"/>
                  <w:bookmarkEnd w:id="292"/>
                </w:p>
              </w:tc>
              <w:tc>
                <w:tcPr>
                  <w:tcW w:w="176"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1</w:t>
                  </w:r>
                </w:p>
              </w:tc>
              <w:tc>
                <w:tcPr>
                  <w:tcW w:w="201"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5</w:t>
                  </w:r>
                </w:p>
              </w:tc>
              <w:tc>
                <w:tcPr>
                  <w:tcW w:w="426"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73.35</w:t>
                  </w:r>
                </w:p>
              </w:tc>
              <w:tc>
                <w:tcPr>
                  <w:tcW w:w="273"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昼间</w:t>
                  </w:r>
                </w:p>
              </w:tc>
              <w:tc>
                <w:tcPr>
                  <w:tcW w:w="426"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20</w:t>
                  </w:r>
                </w:p>
              </w:tc>
              <w:tc>
                <w:tcPr>
                  <w:tcW w:w="481"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hint="eastAsia" w:ascii="Times New Roman" w:hAnsi="Times New Roman" w:eastAsia="宋体" w:cs="Times New Roman"/>
                      <w:bCs/>
                      <w:szCs w:val="21"/>
                    </w:rPr>
                    <w:t>5</w:t>
                  </w:r>
                  <w:r>
                    <w:rPr>
                      <w:rFonts w:ascii="Times New Roman" w:hAnsi="Times New Roman" w:eastAsia="宋体" w:cs="Times New Roman"/>
                      <w:bCs/>
                      <w:szCs w:val="21"/>
                    </w:rPr>
                    <w:t>3.35</w:t>
                  </w:r>
                </w:p>
              </w:tc>
              <w:tc>
                <w:tcPr>
                  <w:tcW w:w="379" w:type="pct"/>
                  <w:vMerge w:val="continue"/>
                  <w:tcBorders>
                    <w:left w:val="single" w:color="auto" w:sz="4" w:space="0"/>
                    <w:right w:val="nil"/>
                  </w:tcBorders>
                  <w:vAlign w:val="center"/>
                </w:tcPr>
                <w:p>
                  <w:pPr>
                    <w:adjustRightInd w:val="0"/>
                    <w:snapToGrid w:val="0"/>
                    <w:ind w:left="-105" w:leftChars="-50" w:right="-105" w:rightChars="-50"/>
                    <w:jc w:val="center"/>
                    <w:rPr>
                      <w:rFonts w:ascii="Times New Roman" w:hAnsi="Times New Roman" w:eastAsia="宋体" w:cs="Times New Roman"/>
                      <w:bCs/>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93" w:type="pct"/>
                  <w:tcBorders>
                    <w:left w:val="nil"/>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p>
              </w:tc>
              <w:tc>
                <w:tcPr>
                  <w:tcW w:w="319"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hint="eastAsia" w:ascii="Times New Roman" w:hAnsi="Times New Roman" w:eastAsia="宋体" w:cs="Times New Roman"/>
                      <w:bCs/>
                      <w:szCs w:val="21"/>
                    </w:rPr>
                    <w:t>金属产品分级装置</w:t>
                  </w:r>
                </w:p>
              </w:tc>
              <w:tc>
                <w:tcPr>
                  <w:tcW w:w="593"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非标</w:t>
                  </w:r>
                </w:p>
              </w:tc>
              <w:tc>
                <w:tcPr>
                  <w:tcW w:w="320"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hint="eastAsia" w:ascii="Times New Roman" w:hAnsi="Times New Roman" w:eastAsia="宋体" w:cs="Times New Roman"/>
                      <w:bCs/>
                      <w:szCs w:val="21"/>
                    </w:rPr>
                    <w:t>1</w:t>
                  </w:r>
                </w:p>
              </w:tc>
              <w:tc>
                <w:tcPr>
                  <w:tcW w:w="391"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cs="Times New Roman"/>
                    </w:rPr>
                    <w:t>80</w:t>
                  </w:r>
                </w:p>
              </w:tc>
              <w:tc>
                <w:tcPr>
                  <w:tcW w:w="320" w:type="pct"/>
                  <w:vMerge w:val="continue"/>
                  <w:tcBorders>
                    <w:left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p>
              </w:tc>
              <w:tc>
                <w:tcPr>
                  <w:tcW w:w="255"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-10</w:t>
                  </w:r>
                </w:p>
              </w:tc>
              <w:tc>
                <w:tcPr>
                  <w:tcW w:w="246"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-40</w:t>
                  </w:r>
                </w:p>
              </w:tc>
              <w:tc>
                <w:tcPr>
                  <w:tcW w:w="176"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1</w:t>
                  </w:r>
                </w:p>
              </w:tc>
              <w:tc>
                <w:tcPr>
                  <w:tcW w:w="201"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hint="eastAsia" w:ascii="Times New Roman" w:hAnsi="Times New Roman" w:eastAsia="宋体" w:cs="Times New Roman"/>
                      <w:bCs/>
                      <w:szCs w:val="21"/>
                    </w:rPr>
                    <w:t>5</w:t>
                  </w:r>
                </w:p>
              </w:tc>
              <w:tc>
                <w:tcPr>
                  <w:tcW w:w="426"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63.35</w:t>
                  </w:r>
                </w:p>
              </w:tc>
              <w:tc>
                <w:tcPr>
                  <w:tcW w:w="273"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昼间</w:t>
                  </w:r>
                </w:p>
              </w:tc>
              <w:tc>
                <w:tcPr>
                  <w:tcW w:w="426"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20</w:t>
                  </w:r>
                </w:p>
              </w:tc>
              <w:tc>
                <w:tcPr>
                  <w:tcW w:w="481" w:type="pct"/>
                  <w:tcBorders>
                    <w:top w:val="single" w:color="auto" w:sz="4" w:space="0"/>
                    <w:left w:val="single" w:color="auto" w:sz="4" w:space="0"/>
                    <w:bottom w:val="single" w:color="auto" w:sz="4"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hint="eastAsia" w:ascii="Times New Roman" w:hAnsi="Times New Roman" w:eastAsia="宋体" w:cs="Times New Roman"/>
                      <w:bCs/>
                      <w:szCs w:val="21"/>
                    </w:rPr>
                    <w:t>4</w:t>
                  </w:r>
                  <w:r>
                    <w:rPr>
                      <w:rFonts w:ascii="Times New Roman" w:hAnsi="Times New Roman" w:eastAsia="宋体" w:cs="Times New Roman"/>
                      <w:bCs/>
                      <w:szCs w:val="21"/>
                    </w:rPr>
                    <w:t>3.35</w:t>
                  </w:r>
                </w:p>
              </w:tc>
              <w:tc>
                <w:tcPr>
                  <w:tcW w:w="379" w:type="pct"/>
                  <w:vMerge w:val="continue"/>
                  <w:tcBorders>
                    <w:left w:val="single" w:color="auto" w:sz="4" w:space="0"/>
                    <w:right w:val="nil"/>
                  </w:tcBorders>
                  <w:vAlign w:val="center"/>
                </w:tcPr>
                <w:p>
                  <w:pPr>
                    <w:adjustRightInd w:val="0"/>
                    <w:snapToGrid w:val="0"/>
                    <w:ind w:left="-105" w:leftChars="-50" w:right="-105" w:rightChars="-50"/>
                    <w:jc w:val="center"/>
                    <w:rPr>
                      <w:rFonts w:ascii="Times New Roman" w:hAnsi="Times New Roman" w:eastAsia="宋体" w:cs="Times New Roman"/>
                      <w:bCs/>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93" w:type="pct"/>
                  <w:tcBorders>
                    <w:left w:val="nil"/>
                    <w:bottom w:val="single" w:color="auto" w:sz="12"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p>
              </w:tc>
              <w:tc>
                <w:tcPr>
                  <w:tcW w:w="319" w:type="pct"/>
                  <w:tcBorders>
                    <w:top w:val="single" w:color="auto" w:sz="4" w:space="0"/>
                    <w:left w:val="single" w:color="auto" w:sz="4" w:space="0"/>
                    <w:bottom w:val="single" w:color="auto" w:sz="12"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hint="eastAsia" w:ascii="Times New Roman" w:hAnsi="Times New Roman" w:eastAsia="宋体" w:cs="Times New Roman"/>
                      <w:bCs/>
                      <w:szCs w:val="21"/>
                    </w:rPr>
                    <w:t>压滤机</w:t>
                  </w:r>
                </w:p>
              </w:tc>
              <w:tc>
                <w:tcPr>
                  <w:tcW w:w="593" w:type="pct"/>
                  <w:tcBorders>
                    <w:top w:val="single" w:color="auto" w:sz="4" w:space="0"/>
                    <w:left w:val="single" w:color="auto" w:sz="4" w:space="0"/>
                    <w:bottom w:val="single" w:color="auto" w:sz="12"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hint="eastAsia" w:ascii="Times New Roman" w:hAnsi="Times New Roman" w:eastAsia="宋体" w:cs="Times New Roman"/>
                      <w:bCs/>
                      <w:szCs w:val="21"/>
                    </w:rPr>
                    <w:t>非标</w:t>
                  </w:r>
                </w:p>
              </w:tc>
              <w:tc>
                <w:tcPr>
                  <w:tcW w:w="320" w:type="pct"/>
                  <w:tcBorders>
                    <w:top w:val="single" w:color="auto" w:sz="4" w:space="0"/>
                    <w:left w:val="single" w:color="auto" w:sz="4" w:space="0"/>
                    <w:bottom w:val="single" w:color="auto" w:sz="12"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hint="eastAsia" w:ascii="Times New Roman" w:hAnsi="Times New Roman" w:eastAsia="宋体" w:cs="Times New Roman"/>
                      <w:bCs/>
                      <w:szCs w:val="21"/>
                    </w:rPr>
                    <w:t>1</w:t>
                  </w:r>
                </w:p>
              </w:tc>
              <w:tc>
                <w:tcPr>
                  <w:tcW w:w="391" w:type="pct"/>
                  <w:tcBorders>
                    <w:top w:val="single" w:color="auto" w:sz="4" w:space="0"/>
                    <w:left w:val="single" w:color="auto" w:sz="4" w:space="0"/>
                    <w:bottom w:val="single" w:color="auto" w:sz="12"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cs="Times New Roman"/>
                    </w:rPr>
                    <w:t>90</w:t>
                  </w:r>
                </w:p>
              </w:tc>
              <w:tc>
                <w:tcPr>
                  <w:tcW w:w="320" w:type="pct"/>
                  <w:vMerge w:val="continue"/>
                  <w:tcBorders>
                    <w:left w:val="single" w:color="auto" w:sz="4" w:space="0"/>
                    <w:bottom w:val="single" w:color="auto" w:sz="12"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p>
              </w:tc>
              <w:tc>
                <w:tcPr>
                  <w:tcW w:w="255" w:type="pct"/>
                  <w:tcBorders>
                    <w:top w:val="single" w:color="auto" w:sz="4" w:space="0"/>
                    <w:left w:val="single" w:color="auto" w:sz="4" w:space="0"/>
                    <w:bottom w:val="single" w:color="auto" w:sz="12"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-10</w:t>
                  </w:r>
                </w:p>
              </w:tc>
              <w:tc>
                <w:tcPr>
                  <w:tcW w:w="246" w:type="pct"/>
                  <w:tcBorders>
                    <w:top w:val="single" w:color="auto" w:sz="4" w:space="0"/>
                    <w:left w:val="single" w:color="auto" w:sz="4" w:space="0"/>
                    <w:bottom w:val="single" w:color="auto" w:sz="12"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-35</w:t>
                  </w:r>
                </w:p>
              </w:tc>
              <w:tc>
                <w:tcPr>
                  <w:tcW w:w="176" w:type="pct"/>
                  <w:tcBorders>
                    <w:top w:val="single" w:color="auto" w:sz="4" w:space="0"/>
                    <w:left w:val="single" w:color="auto" w:sz="4" w:space="0"/>
                    <w:bottom w:val="single" w:color="auto" w:sz="12"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1</w:t>
                  </w:r>
                </w:p>
              </w:tc>
              <w:tc>
                <w:tcPr>
                  <w:tcW w:w="201" w:type="pct"/>
                  <w:tcBorders>
                    <w:top w:val="single" w:color="auto" w:sz="4" w:space="0"/>
                    <w:left w:val="single" w:color="auto" w:sz="4" w:space="0"/>
                    <w:bottom w:val="single" w:color="auto" w:sz="12"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hint="eastAsia" w:ascii="Times New Roman" w:hAnsi="Times New Roman" w:eastAsia="宋体" w:cs="Times New Roman"/>
                      <w:bCs/>
                      <w:szCs w:val="21"/>
                    </w:rPr>
                    <w:t>5</w:t>
                  </w:r>
                </w:p>
              </w:tc>
              <w:tc>
                <w:tcPr>
                  <w:tcW w:w="426" w:type="pct"/>
                  <w:tcBorders>
                    <w:top w:val="single" w:color="auto" w:sz="4" w:space="0"/>
                    <w:left w:val="single" w:color="auto" w:sz="4" w:space="0"/>
                    <w:bottom w:val="single" w:color="auto" w:sz="12"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81.34</w:t>
                  </w:r>
                </w:p>
              </w:tc>
              <w:tc>
                <w:tcPr>
                  <w:tcW w:w="273" w:type="pct"/>
                  <w:tcBorders>
                    <w:top w:val="single" w:color="auto" w:sz="4" w:space="0"/>
                    <w:left w:val="single" w:color="auto" w:sz="4" w:space="0"/>
                    <w:bottom w:val="single" w:color="auto" w:sz="12"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昼间</w:t>
                  </w:r>
                </w:p>
              </w:tc>
              <w:tc>
                <w:tcPr>
                  <w:tcW w:w="426" w:type="pct"/>
                  <w:tcBorders>
                    <w:top w:val="single" w:color="auto" w:sz="4" w:space="0"/>
                    <w:left w:val="single" w:color="auto" w:sz="4" w:space="0"/>
                    <w:bottom w:val="single" w:color="auto" w:sz="12"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ascii="Times New Roman" w:hAnsi="Times New Roman" w:eastAsia="宋体" w:cs="Times New Roman"/>
                      <w:bCs/>
                      <w:szCs w:val="21"/>
                    </w:rPr>
                    <w:t>20</w:t>
                  </w:r>
                </w:p>
              </w:tc>
              <w:tc>
                <w:tcPr>
                  <w:tcW w:w="481" w:type="pct"/>
                  <w:tcBorders>
                    <w:top w:val="single" w:color="auto" w:sz="4" w:space="0"/>
                    <w:left w:val="single" w:color="auto" w:sz="4" w:space="0"/>
                    <w:bottom w:val="single" w:color="auto" w:sz="12" w:space="0"/>
                    <w:right w:val="single" w:color="auto" w:sz="4" w:space="0"/>
                  </w:tcBorders>
                  <w:vAlign w:val="center"/>
                </w:tcPr>
                <w:p>
                  <w:pPr>
                    <w:adjustRightInd w:val="0"/>
                    <w:snapToGrid w:val="0"/>
                    <w:ind w:left="-105" w:leftChars="-50" w:right="-105" w:rightChars="-50"/>
                    <w:jc w:val="center"/>
                    <w:rPr>
                      <w:rFonts w:ascii="Times New Roman" w:hAnsi="Times New Roman" w:eastAsia="宋体" w:cs="Times New Roman"/>
                      <w:bCs/>
                      <w:szCs w:val="21"/>
                    </w:rPr>
                  </w:pPr>
                  <w:r>
                    <w:rPr>
                      <w:rFonts w:hint="eastAsia" w:ascii="Times New Roman" w:hAnsi="Times New Roman" w:eastAsia="宋体" w:cs="Times New Roman"/>
                      <w:bCs/>
                      <w:szCs w:val="21"/>
                    </w:rPr>
                    <w:t>6</w:t>
                  </w:r>
                  <w:r>
                    <w:rPr>
                      <w:rFonts w:ascii="Times New Roman" w:hAnsi="Times New Roman" w:eastAsia="宋体" w:cs="Times New Roman"/>
                      <w:bCs/>
                      <w:szCs w:val="21"/>
                    </w:rPr>
                    <w:t>1.34</w:t>
                  </w:r>
                </w:p>
              </w:tc>
              <w:tc>
                <w:tcPr>
                  <w:tcW w:w="379" w:type="pct"/>
                  <w:vMerge w:val="continue"/>
                  <w:tcBorders>
                    <w:left w:val="single" w:color="auto" w:sz="4" w:space="0"/>
                    <w:bottom w:val="single" w:color="auto" w:sz="12" w:space="0"/>
                    <w:right w:val="nil"/>
                  </w:tcBorders>
                  <w:vAlign w:val="center"/>
                </w:tcPr>
                <w:p>
                  <w:pPr>
                    <w:adjustRightInd w:val="0"/>
                    <w:snapToGrid w:val="0"/>
                    <w:ind w:left="-105" w:leftChars="-50" w:right="-105" w:rightChars="-50"/>
                    <w:jc w:val="center"/>
                    <w:rPr>
                      <w:rFonts w:ascii="Times New Roman" w:hAnsi="Times New Roman" w:eastAsia="宋体" w:cs="Times New Roman"/>
                      <w:bCs/>
                      <w:szCs w:val="21"/>
                    </w:rPr>
                  </w:pPr>
                </w:p>
              </w:tc>
            </w:tr>
          </w:tbl>
          <w:p>
            <w:pPr>
              <w:pStyle w:val="111"/>
              <w:ind w:firstLine="480"/>
              <w:rPr>
                <w:szCs w:val="21"/>
              </w:rPr>
            </w:pPr>
            <w:r>
              <w:rPr>
                <w:rFonts w:hint="eastAsia"/>
                <w:szCs w:val="21"/>
                <w:highlight w:val="yellow"/>
              </w:rPr>
              <w:t>具体预测</w:t>
            </w:r>
            <w:r>
              <w:rPr>
                <w:rFonts w:hint="eastAsia"/>
                <w:color w:val="FF0000"/>
                <w:szCs w:val="21"/>
                <w:highlight w:val="yellow"/>
              </w:rPr>
              <w:t>公式</w:t>
            </w:r>
            <w:r>
              <w:rPr>
                <w:rFonts w:hint="eastAsia"/>
                <w:szCs w:val="21"/>
                <w:highlight w:val="yellow"/>
              </w:rPr>
              <w:t>如下：</w:t>
            </w:r>
          </w:p>
          <w:p>
            <w:pPr>
              <w:pStyle w:val="111"/>
              <w:ind w:firstLine="480"/>
              <w:rPr>
                <w:szCs w:val="21"/>
              </w:rPr>
            </w:pPr>
            <w:r>
              <w:rPr>
                <w:szCs w:val="21"/>
              </w:rPr>
              <w:t>1、如果已知声源的声压级L（r0），且声源位于地面上，则</w:t>
            </w:r>
          </w:p>
          <w:p>
            <w:pPr>
              <w:pStyle w:val="111"/>
              <w:ind w:firstLine="482"/>
              <w:jc w:val="center"/>
              <w:rPr>
                <w:b/>
                <w:szCs w:val="21"/>
              </w:rPr>
            </w:pPr>
            <w:r>
              <w:rPr>
                <w:b/>
                <w:szCs w:val="21"/>
              </w:rPr>
              <w:drawing>
                <wp:inline distT="0" distB="0" distL="114300" distR="114300">
                  <wp:extent cx="1431925" cy="227965"/>
                  <wp:effectExtent l="0" t="0" r="15875" b="635"/>
                  <wp:docPr id="43"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3" name="图片 4"/>
                          <pic:cNvPicPr>
                            <a:picLocks noChangeAspect="true"/>
                          </pic:cNvPicPr>
                        </pic:nvPicPr>
                        <pic:blipFill>
                          <a:blip r:embed="rId21"/>
                          <a:stretch>
                            <a:fillRect/>
                          </a:stretch>
                        </pic:blipFill>
                        <pic:spPr>
                          <a:xfrm>
                            <a:off x="0" y="0"/>
                            <a:ext cx="1431925" cy="227965"/>
                          </a:xfrm>
                          <a:prstGeom prst="rect">
                            <a:avLst/>
                          </a:prstGeom>
                          <a:noFill/>
                          <a:ln>
                            <a:noFill/>
                          </a:ln>
                        </pic:spPr>
                      </pic:pic>
                    </a:graphicData>
                  </a:graphic>
                </wp:inline>
              </w:drawing>
            </w:r>
          </w:p>
          <w:p>
            <w:pPr>
              <w:pStyle w:val="111"/>
              <w:ind w:firstLine="480"/>
              <w:rPr>
                <w:szCs w:val="21"/>
              </w:rPr>
            </w:pPr>
            <w:r>
              <w:rPr>
                <w:szCs w:val="21"/>
              </w:rPr>
              <w:t>2、首先计算出某个室内声源靠近围护结构处的声压级：</w:t>
            </w:r>
          </w:p>
          <w:p>
            <w:pPr>
              <w:pStyle w:val="111"/>
              <w:ind w:firstLine="482"/>
              <w:jc w:val="center"/>
              <w:rPr>
                <w:b/>
                <w:szCs w:val="21"/>
              </w:rPr>
            </w:pPr>
            <w:r>
              <w:rPr>
                <w:b/>
                <w:szCs w:val="21"/>
              </w:rPr>
              <w:drawing>
                <wp:inline distT="0" distB="0" distL="114300" distR="114300">
                  <wp:extent cx="1946275" cy="473710"/>
                  <wp:effectExtent l="0" t="0" r="15875" b="2540"/>
                  <wp:docPr id="44"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4" name="图片 5"/>
                          <pic:cNvPicPr>
                            <a:picLocks noChangeAspect="true"/>
                          </pic:cNvPicPr>
                        </pic:nvPicPr>
                        <pic:blipFill>
                          <a:blip r:embed="rId22"/>
                          <a:stretch>
                            <a:fillRect/>
                          </a:stretch>
                        </pic:blipFill>
                        <pic:spPr>
                          <a:xfrm>
                            <a:off x="0" y="0"/>
                            <a:ext cx="1946275" cy="473710"/>
                          </a:xfrm>
                          <a:prstGeom prst="rect">
                            <a:avLst/>
                          </a:prstGeom>
                          <a:noFill/>
                          <a:ln>
                            <a:noFill/>
                          </a:ln>
                        </pic:spPr>
                      </pic:pic>
                    </a:graphicData>
                  </a:graphic>
                </wp:inline>
              </w:drawing>
            </w:r>
          </w:p>
          <w:p>
            <w:pPr>
              <w:pStyle w:val="111"/>
              <w:ind w:firstLine="480"/>
              <w:rPr>
                <w:szCs w:val="21"/>
              </w:rPr>
            </w:pPr>
            <w:r>
              <w:rPr>
                <w:szCs w:val="21"/>
              </w:rPr>
              <w:t>式中：Lp1：某个室内声源靠近围护结构处的声压级。</w:t>
            </w:r>
          </w:p>
          <w:p>
            <w:pPr>
              <w:pStyle w:val="111"/>
              <w:ind w:firstLine="480"/>
              <w:rPr>
                <w:szCs w:val="21"/>
              </w:rPr>
            </w:pPr>
            <w:r>
              <w:rPr>
                <w:szCs w:val="21"/>
              </w:rPr>
              <w:t>Lw：某个室内声源靠近围护结构处产生的声功率级。</w:t>
            </w:r>
          </w:p>
          <w:p>
            <w:pPr>
              <w:pStyle w:val="111"/>
              <w:ind w:firstLine="480"/>
              <w:rPr>
                <w:szCs w:val="21"/>
              </w:rPr>
            </w:pPr>
            <w:r>
              <w:rPr>
                <w:szCs w:val="21"/>
              </w:rPr>
              <w:t>Q：指向性因数；通常对无指向性声源，当声源放在房间中心时，Q=1；当放在一面墙的中心时，Q=2；当放在两面墙夹角处时，Q=4；当放在三面墙夹角处时，Q=8。</w:t>
            </w:r>
          </w:p>
          <w:p>
            <w:pPr>
              <w:pStyle w:val="111"/>
              <w:ind w:firstLine="480"/>
              <w:rPr>
                <w:szCs w:val="21"/>
              </w:rPr>
            </w:pPr>
            <w:r>
              <w:rPr>
                <w:szCs w:val="21"/>
              </w:rPr>
              <w:t>R：房间常数；R=Sa/（1-a），S为房间内表面面积，m</w:t>
            </w:r>
            <w:r>
              <w:rPr>
                <w:szCs w:val="21"/>
                <w:vertAlign w:val="superscript"/>
              </w:rPr>
              <w:t>2</w:t>
            </w:r>
            <w:r>
              <w:rPr>
                <w:szCs w:val="21"/>
              </w:rPr>
              <w:t>；a为平均吸声系数，本评价a取0.15。</w:t>
            </w:r>
          </w:p>
          <w:p>
            <w:pPr>
              <w:pStyle w:val="111"/>
              <w:ind w:firstLine="480"/>
              <w:rPr>
                <w:szCs w:val="21"/>
              </w:rPr>
            </w:pPr>
            <w:r>
              <w:rPr>
                <w:szCs w:val="21"/>
              </w:rPr>
              <w:t>r：声源到靠近围护结构某点处的距离，m。</w:t>
            </w:r>
          </w:p>
          <w:p>
            <w:pPr>
              <w:pStyle w:val="111"/>
              <w:ind w:firstLine="480"/>
              <w:rPr>
                <w:szCs w:val="21"/>
              </w:rPr>
            </w:pPr>
            <w:r>
              <w:rPr>
                <w:szCs w:val="21"/>
              </w:rPr>
              <w:t>3、计算出所有室内声源在围护结构处产生的总声压级：</w:t>
            </w:r>
          </w:p>
          <w:p>
            <w:pPr>
              <w:pStyle w:val="111"/>
              <w:ind w:firstLine="482"/>
              <w:jc w:val="center"/>
              <w:rPr>
                <w:b/>
                <w:szCs w:val="21"/>
              </w:rPr>
            </w:pPr>
            <w:r>
              <w:rPr>
                <w:b/>
                <w:szCs w:val="21"/>
              </w:rPr>
              <w:drawing>
                <wp:inline distT="0" distB="0" distL="114300" distR="114300">
                  <wp:extent cx="1990725" cy="561975"/>
                  <wp:effectExtent l="0" t="0" r="9525" b="9525"/>
                  <wp:docPr id="45"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5" name="图片 6"/>
                          <pic:cNvPicPr>
                            <a:picLocks noChangeAspect="true"/>
                          </pic:cNvPicPr>
                        </pic:nvPicPr>
                        <pic:blipFill>
                          <a:blip r:embed="rId23"/>
                          <a:stretch>
                            <a:fillRect/>
                          </a:stretch>
                        </pic:blipFill>
                        <pic:spPr>
                          <a:xfrm>
                            <a:off x="0" y="0"/>
                            <a:ext cx="1990725" cy="561975"/>
                          </a:xfrm>
                          <a:prstGeom prst="rect">
                            <a:avLst/>
                          </a:prstGeom>
                          <a:noFill/>
                          <a:ln>
                            <a:noFill/>
                          </a:ln>
                        </pic:spPr>
                      </pic:pic>
                    </a:graphicData>
                  </a:graphic>
                </wp:inline>
              </w:drawing>
            </w:r>
          </w:p>
          <w:p>
            <w:pPr>
              <w:pStyle w:val="111"/>
              <w:ind w:firstLine="480"/>
              <w:rPr>
                <w:szCs w:val="21"/>
              </w:rPr>
            </w:pPr>
            <w:r>
              <w:rPr>
                <w:szCs w:val="21"/>
              </w:rPr>
              <w:t>式中：Lp1（T）：靠近围护结构处室内N个声源的叠加声压级，dB（A）；</w:t>
            </w:r>
          </w:p>
          <w:p>
            <w:pPr>
              <w:pStyle w:val="111"/>
              <w:ind w:firstLine="480"/>
              <w:rPr>
                <w:szCs w:val="21"/>
              </w:rPr>
            </w:pPr>
            <w:r>
              <w:rPr>
                <w:szCs w:val="21"/>
              </w:rPr>
              <w:t>Lp1.j：j声源的声压级，dB（A）；</w:t>
            </w:r>
          </w:p>
          <w:p>
            <w:pPr>
              <w:pStyle w:val="111"/>
              <w:ind w:firstLine="480"/>
              <w:rPr>
                <w:szCs w:val="21"/>
              </w:rPr>
            </w:pPr>
            <w:r>
              <w:rPr>
                <w:szCs w:val="21"/>
              </w:rPr>
              <w:t>N—室内声源总数。</w:t>
            </w:r>
          </w:p>
          <w:p>
            <w:pPr>
              <w:pStyle w:val="111"/>
              <w:ind w:firstLine="480"/>
              <w:rPr>
                <w:szCs w:val="21"/>
              </w:rPr>
            </w:pPr>
            <w:r>
              <w:rPr>
                <w:szCs w:val="21"/>
              </w:rPr>
              <w:t>4、计算出室外靠近围护结构处的声压级：</w:t>
            </w:r>
          </w:p>
          <w:p>
            <w:pPr>
              <w:pStyle w:val="111"/>
              <w:ind w:firstLine="482"/>
              <w:jc w:val="center"/>
              <w:rPr>
                <w:b/>
                <w:szCs w:val="21"/>
              </w:rPr>
            </w:pPr>
            <w:r>
              <w:rPr>
                <w:b/>
                <w:szCs w:val="21"/>
              </w:rPr>
              <w:drawing>
                <wp:inline distT="0" distB="0" distL="114300" distR="114300">
                  <wp:extent cx="1514475" cy="290830"/>
                  <wp:effectExtent l="0" t="0" r="9525" b="13970"/>
                  <wp:docPr id="46"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6" name="图片 7"/>
                          <pic:cNvPicPr>
                            <a:picLocks noChangeAspect="true"/>
                          </pic:cNvPicPr>
                        </pic:nvPicPr>
                        <pic:blipFill>
                          <a:blip r:embed="rId24"/>
                          <a:stretch>
                            <a:fillRect/>
                          </a:stretch>
                        </pic:blipFill>
                        <pic:spPr>
                          <a:xfrm>
                            <a:off x="0" y="0"/>
                            <a:ext cx="1514475" cy="290830"/>
                          </a:xfrm>
                          <a:prstGeom prst="rect">
                            <a:avLst/>
                          </a:prstGeom>
                          <a:noFill/>
                          <a:ln>
                            <a:noFill/>
                          </a:ln>
                        </pic:spPr>
                      </pic:pic>
                    </a:graphicData>
                  </a:graphic>
                </wp:inline>
              </w:drawing>
            </w:r>
          </w:p>
          <w:p>
            <w:pPr>
              <w:pStyle w:val="111"/>
              <w:ind w:firstLine="480"/>
              <w:rPr>
                <w:szCs w:val="21"/>
              </w:rPr>
            </w:pPr>
            <w:r>
              <w:rPr>
                <w:szCs w:val="21"/>
              </w:rPr>
              <w:t>式中：Lp1：靠近开口处（或窗户）室内某倍频带的声压级或A声级，dB（A）；</w:t>
            </w:r>
          </w:p>
          <w:p>
            <w:pPr>
              <w:pStyle w:val="111"/>
              <w:ind w:firstLine="480"/>
              <w:rPr>
                <w:szCs w:val="21"/>
              </w:rPr>
            </w:pPr>
            <w:r>
              <w:rPr>
                <w:szCs w:val="21"/>
              </w:rPr>
              <w:t>Lp2：靠近开口处（或窗户）室外某倍频带的声压级或A声级，dB（A）；</w:t>
            </w:r>
          </w:p>
          <w:p>
            <w:pPr>
              <w:pStyle w:val="111"/>
              <w:ind w:firstLine="480"/>
              <w:rPr>
                <w:szCs w:val="21"/>
              </w:rPr>
            </w:pPr>
            <w:r>
              <w:rPr>
                <w:szCs w:val="21"/>
              </w:rPr>
              <w:t>TL；隔墙（或窗户）倍频带的声压级或A声级的隔声量，dB（A）；</w:t>
            </w:r>
          </w:p>
          <w:p>
            <w:pPr>
              <w:pStyle w:val="111"/>
              <w:ind w:firstLine="480"/>
              <w:rPr>
                <w:szCs w:val="21"/>
              </w:rPr>
            </w:pPr>
            <w:r>
              <w:rPr>
                <w:szCs w:val="21"/>
              </w:rPr>
              <w:t>5、将室外声级Lp2（T）和透声面积换算成等效的室外声源，计算出等效声源的声功率级LW；</w:t>
            </w:r>
          </w:p>
          <w:p>
            <w:pPr>
              <w:pStyle w:val="111"/>
              <w:ind w:firstLine="482"/>
              <w:rPr>
                <w:b/>
                <w:szCs w:val="21"/>
              </w:rPr>
            </w:pPr>
            <w:r>
              <w:rPr>
                <w:b/>
                <w:szCs w:val="21"/>
              </w:rPr>
              <w:drawing>
                <wp:inline distT="0" distB="0" distL="114300" distR="114300">
                  <wp:extent cx="1776730" cy="274320"/>
                  <wp:effectExtent l="0" t="0" r="13970" b="11430"/>
                  <wp:docPr id="47" name="图片 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7" name="图片 8"/>
                          <pic:cNvPicPr>
                            <a:picLocks noChangeAspect="true"/>
                          </pic:cNvPicPr>
                        </pic:nvPicPr>
                        <pic:blipFill>
                          <a:blip r:embed="rId25"/>
                          <a:stretch>
                            <a:fillRect/>
                          </a:stretch>
                        </pic:blipFill>
                        <pic:spPr>
                          <a:xfrm>
                            <a:off x="0" y="0"/>
                            <a:ext cx="1776730" cy="274320"/>
                          </a:xfrm>
                          <a:prstGeom prst="rect">
                            <a:avLst/>
                          </a:prstGeom>
                          <a:noFill/>
                          <a:ln>
                            <a:noFill/>
                          </a:ln>
                        </pic:spPr>
                      </pic:pic>
                    </a:graphicData>
                  </a:graphic>
                </wp:inline>
              </w:drawing>
            </w:r>
          </w:p>
          <w:p>
            <w:pPr>
              <w:pStyle w:val="111"/>
              <w:ind w:firstLine="480"/>
              <w:rPr>
                <w:szCs w:val="21"/>
              </w:rPr>
            </w:pPr>
            <w:r>
              <w:rPr>
                <w:szCs w:val="21"/>
              </w:rPr>
              <w:t>式中：s为透声面积，m</w:t>
            </w:r>
            <w:r>
              <w:rPr>
                <w:szCs w:val="21"/>
                <w:vertAlign w:val="superscript"/>
              </w:rPr>
              <w:t>2</w:t>
            </w:r>
            <w:r>
              <w:rPr>
                <w:szCs w:val="21"/>
              </w:rPr>
              <w:t>。</w:t>
            </w:r>
          </w:p>
          <w:p>
            <w:pPr>
              <w:pStyle w:val="111"/>
              <w:ind w:firstLine="480"/>
              <w:rPr>
                <w:szCs w:val="21"/>
              </w:rPr>
            </w:pPr>
            <w:r>
              <w:rPr>
                <w:szCs w:val="21"/>
              </w:rPr>
              <w:t>6、等效室外声源的位置为围护结构的位置，其声功率级为Lw，由此按室外</w:t>
            </w:r>
          </w:p>
          <w:p>
            <w:pPr>
              <w:pStyle w:val="111"/>
              <w:ind w:firstLine="480"/>
              <w:rPr>
                <w:szCs w:val="21"/>
              </w:rPr>
            </w:pPr>
            <w:r>
              <w:rPr>
                <w:szCs w:val="21"/>
              </w:rPr>
              <w:t>声源方法计算等效室外声源在预测点产生的A声级。</w:t>
            </w:r>
          </w:p>
          <w:p>
            <w:pPr>
              <w:pStyle w:val="111"/>
              <w:ind w:firstLine="480"/>
              <w:rPr>
                <w:szCs w:val="21"/>
              </w:rPr>
            </w:pPr>
            <w:r>
              <w:rPr>
                <w:szCs w:val="21"/>
              </w:rPr>
              <w:t>三、室外声源</w:t>
            </w:r>
          </w:p>
          <w:p>
            <w:pPr>
              <w:pStyle w:val="111"/>
              <w:ind w:firstLine="480"/>
              <w:rPr>
                <w:szCs w:val="21"/>
              </w:rPr>
            </w:pPr>
            <w:r>
              <w:rPr>
                <w:szCs w:val="21"/>
              </w:rPr>
              <w:t>计算某个声源在预测点的声压级</w:t>
            </w:r>
          </w:p>
          <w:p>
            <w:pPr>
              <w:pStyle w:val="111"/>
              <w:ind w:firstLine="482"/>
              <w:jc w:val="center"/>
              <w:rPr>
                <w:b/>
                <w:szCs w:val="21"/>
              </w:rPr>
            </w:pPr>
            <w:r>
              <w:rPr>
                <w:b/>
                <w:szCs w:val="21"/>
              </w:rPr>
              <w:drawing>
                <wp:inline distT="0" distB="0" distL="114300" distR="114300">
                  <wp:extent cx="1898015" cy="288925"/>
                  <wp:effectExtent l="0" t="0" r="6985" b="15875"/>
                  <wp:docPr id="48" name="图片 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8" name="图片 9"/>
                          <pic:cNvPicPr>
                            <a:picLocks noChangeAspect="true"/>
                          </pic:cNvPicPr>
                        </pic:nvPicPr>
                        <pic:blipFill>
                          <a:blip r:embed="rId26"/>
                          <a:stretch>
                            <a:fillRect/>
                          </a:stretch>
                        </pic:blipFill>
                        <pic:spPr>
                          <a:xfrm>
                            <a:off x="0" y="0"/>
                            <a:ext cx="1898015" cy="288925"/>
                          </a:xfrm>
                          <a:prstGeom prst="rect">
                            <a:avLst/>
                          </a:prstGeom>
                          <a:noFill/>
                          <a:ln>
                            <a:noFill/>
                          </a:ln>
                        </pic:spPr>
                      </pic:pic>
                    </a:graphicData>
                  </a:graphic>
                </wp:inline>
              </w:drawing>
            </w:r>
          </w:p>
          <w:p>
            <w:pPr>
              <w:pStyle w:val="111"/>
              <w:ind w:firstLine="480"/>
              <w:rPr>
                <w:szCs w:val="21"/>
              </w:rPr>
            </w:pPr>
            <w:r>
              <w:rPr>
                <w:szCs w:val="21"/>
              </w:rPr>
              <w:t>式中：L</w:t>
            </w:r>
            <w:r>
              <w:rPr>
                <w:szCs w:val="21"/>
                <w:vertAlign w:val="subscript"/>
              </w:rPr>
              <w:t>A</w:t>
            </w:r>
            <w:r>
              <w:rPr>
                <w:szCs w:val="21"/>
              </w:rPr>
              <w:t>（r）：点声源在预测点产生的声压级，dB（A）；</w:t>
            </w:r>
          </w:p>
          <w:p>
            <w:pPr>
              <w:pStyle w:val="111"/>
              <w:ind w:firstLine="480"/>
              <w:rPr>
                <w:szCs w:val="21"/>
              </w:rPr>
            </w:pPr>
            <w:r>
              <w:rPr>
                <w:szCs w:val="21"/>
              </w:rPr>
              <w:t>L</w:t>
            </w:r>
            <w:r>
              <w:rPr>
                <w:szCs w:val="21"/>
                <w:vertAlign w:val="subscript"/>
              </w:rPr>
              <w:t>A</w:t>
            </w:r>
            <w:r>
              <w:rPr>
                <w:szCs w:val="21"/>
              </w:rPr>
              <w:t>（r0）：参考位置r0处的声压级，dB（A）；</w:t>
            </w:r>
          </w:p>
          <w:p>
            <w:pPr>
              <w:pStyle w:val="111"/>
              <w:ind w:firstLine="480"/>
              <w:rPr>
                <w:szCs w:val="21"/>
              </w:rPr>
            </w:pPr>
            <w:r>
              <w:rPr>
                <w:szCs w:val="21"/>
              </w:rPr>
              <w:t>r：预测点距声源的距离，m；</w:t>
            </w:r>
          </w:p>
          <w:p>
            <w:pPr>
              <w:pStyle w:val="111"/>
              <w:ind w:firstLine="480"/>
              <w:rPr>
                <w:szCs w:val="21"/>
              </w:rPr>
            </w:pPr>
            <w:r>
              <w:rPr>
                <w:szCs w:val="21"/>
              </w:rPr>
              <w:t>r0：参考位置距声源的距离，m；</w:t>
            </w:r>
          </w:p>
          <w:p>
            <w:pPr>
              <w:pStyle w:val="111"/>
              <w:ind w:firstLine="480"/>
              <w:rPr>
                <w:szCs w:val="21"/>
              </w:rPr>
            </w:pPr>
            <w:r>
              <w:rPr>
                <w:szCs w:val="21"/>
              </w:rPr>
              <w:t>A</w:t>
            </w:r>
            <w:r>
              <w:rPr>
                <w:szCs w:val="21"/>
                <w:vertAlign w:val="subscript"/>
              </w:rPr>
              <w:t>div</w:t>
            </w:r>
            <w:r>
              <w:rPr>
                <w:szCs w:val="21"/>
              </w:rPr>
              <w:t>：几何发散引起的衰减，dB；</w:t>
            </w:r>
          </w:p>
          <w:p>
            <w:pPr>
              <w:pStyle w:val="111"/>
              <w:ind w:firstLine="480"/>
              <w:rPr>
                <w:szCs w:val="21"/>
              </w:rPr>
            </w:pPr>
            <w:r>
              <w:rPr>
                <w:szCs w:val="21"/>
              </w:rPr>
              <w:t>A</w:t>
            </w:r>
            <w:r>
              <w:rPr>
                <w:szCs w:val="21"/>
                <w:vertAlign w:val="subscript"/>
              </w:rPr>
              <w:t>bar</w:t>
            </w:r>
            <w:r>
              <w:rPr>
                <w:szCs w:val="21"/>
              </w:rPr>
              <w:t>：障碍物屏蔽引起的衰减，dB；。</w:t>
            </w:r>
          </w:p>
          <w:p>
            <w:pPr>
              <w:pStyle w:val="111"/>
              <w:ind w:firstLine="480"/>
              <w:rPr>
                <w:szCs w:val="21"/>
              </w:rPr>
            </w:pPr>
            <w:r>
              <w:rPr>
                <w:szCs w:val="21"/>
              </w:rPr>
              <w:t>四、计算总声压级</w:t>
            </w:r>
          </w:p>
          <w:p>
            <w:pPr>
              <w:pStyle w:val="111"/>
              <w:ind w:firstLine="480"/>
              <w:rPr>
                <w:szCs w:val="21"/>
              </w:rPr>
            </w:pPr>
            <w:r>
              <w:rPr>
                <w:szCs w:val="21"/>
              </w:rPr>
              <w:t>设第i个室外声源在预测点产生的A声级为LA，i，在T时间内该声源工作时间为ti；第j个等效室外声源在预测点产生的A声级为LAj，在T时间内该声源工作时间为t，j，则拟建工程声源对预测点产生的贡献值（Leqg）</w:t>
            </w:r>
          </w:p>
          <w:p>
            <w:pPr>
              <w:pStyle w:val="111"/>
              <w:ind w:firstLine="482"/>
              <w:jc w:val="center"/>
              <w:rPr>
                <w:b/>
                <w:szCs w:val="21"/>
              </w:rPr>
            </w:pPr>
            <w:r>
              <w:rPr>
                <w:b/>
                <w:szCs w:val="21"/>
              </w:rPr>
              <w:drawing>
                <wp:inline distT="0" distB="0" distL="114300" distR="114300">
                  <wp:extent cx="2898140" cy="523240"/>
                  <wp:effectExtent l="0" t="0" r="16510" b="10160"/>
                  <wp:docPr id="49" name="图片 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9" name="图片 10"/>
                          <pic:cNvPicPr>
                            <a:picLocks noChangeAspect="true"/>
                          </pic:cNvPicPr>
                        </pic:nvPicPr>
                        <pic:blipFill>
                          <a:blip r:embed="rId27"/>
                          <a:stretch>
                            <a:fillRect/>
                          </a:stretch>
                        </pic:blipFill>
                        <pic:spPr>
                          <a:xfrm>
                            <a:off x="0" y="0"/>
                            <a:ext cx="2898140" cy="523240"/>
                          </a:xfrm>
                          <a:prstGeom prst="rect">
                            <a:avLst/>
                          </a:prstGeom>
                          <a:noFill/>
                          <a:ln>
                            <a:noFill/>
                          </a:ln>
                        </pic:spPr>
                      </pic:pic>
                    </a:graphicData>
                  </a:graphic>
                </wp:inline>
              </w:drawing>
            </w:r>
          </w:p>
          <w:p>
            <w:pPr>
              <w:pStyle w:val="111"/>
              <w:ind w:firstLine="480"/>
              <w:rPr>
                <w:szCs w:val="21"/>
              </w:rPr>
            </w:pPr>
            <w:r>
              <w:rPr>
                <w:szCs w:val="21"/>
              </w:rPr>
              <w:t>式中：T——用于计算等效声级的时间，s；</w:t>
            </w:r>
          </w:p>
          <w:p>
            <w:pPr>
              <w:pStyle w:val="111"/>
              <w:ind w:firstLine="480"/>
              <w:rPr>
                <w:szCs w:val="21"/>
              </w:rPr>
            </w:pPr>
            <w:r>
              <w:rPr>
                <w:szCs w:val="21"/>
              </w:rPr>
              <w:t>N——室外声源个数；</w:t>
            </w:r>
          </w:p>
          <w:p>
            <w:pPr>
              <w:pStyle w:val="111"/>
              <w:ind w:firstLine="480"/>
              <w:rPr>
                <w:szCs w:val="21"/>
              </w:rPr>
            </w:pPr>
            <w:r>
              <w:rPr>
                <w:szCs w:val="21"/>
              </w:rPr>
              <w:t>ti——在T时间内i声源工作时间，s；</w:t>
            </w:r>
          </w:p>
          <w:p>
            <w:pPr>
              <w:pStyle w:val="111"/>
              <w:ind w:firstLine="480"/>
              <w:rPr>
                <w:szCs w:val="21"/>
              </w:rPr>
            </w:pPr>
            <w:r>
              <w:rPr>
                <w:szCs w:val="21"/>
              </w:rPr>
              <w:t>M——等效室外声源个数；</w:t>
            </w:r>
          </w:p>
          <w:p>
            <w:pPr>
              <w:pStyle w:val="111"/>
              <w:ind w:firstLine="480"/>
              <w:rPr>
                <w:szCs w:val="21"/>
              </w:rPr>
            </w:pPr>
            <w:r>
              <w:rPr>
                <w:szCs w:val="21"/>
              </w:rPr>
              <w:t>tj——在T时间内j声源工作时间，s。</w:t>
            </w:r>
          </w:p>
          <w:p>
            <w:pPr>
              <w:pStyle w:val="111"/>
              <w:ind w:firstLine="480"/>
              <w:rPr>
                <w:szCs w:val="21"/>
              </w:rPr>
            </w:pPr>
            <w:r>
              <w:rPr>
                <w:szCs w:val="21"/>
              </w:rPr>
              <w:t>五、噪声预测计算</w:t>
            </w:r>
          </w:p>
          <w:p>
            <w:pPr>
              <w:pStyle w:val="111"/>
              <w:ind w:firstLine="482"/>
              <w:jc w:val="center"/>
              <w:rPr>
                <w:b/>
                <w:szCs w:val="21"/>
              </w:rPr>
            </w:pPr>
            <w:r>
              <w:rPr>
                <w:b/>
                <w:szCs w:val="21"/>
              </w:rPr>
              <w:drawing>
                <wp:inline distT="0" distB="0" distL="114300" distR="114300">
                  <wp:extent cx="2156460" cy="441960"/>
                  <wp:effectExtent l="0" t="0" r="15240" b="15240"/>
                  <wp:docPr id="50" name="图片 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0" name="图片 11"/>
                          <pic:cNvPicPr>
                            <a:picLocks noChangeAspect="true"/>
                          </pic:cNvPicPr>
                        </pic:nvPicPr>
                        <pic:blipFill>
                          <a:blip r:embed="rId28"/>
                          <a:stretch>
                            <a:fillRect/>
                          </a:stretch>
                        </pic:blipFill>
                        <pic:spPr>
                          <a:xfrm>
                            <a:off x="0" y="0"/>
                            <a:ext cx="2156460" cy="441960"/>
                          </a:xfrm>
                          <a:prstGeom prst="rect">
                            <a:avLst/>
                          </a:prstGeom>
                          <a:noFill/>
                          <a:ln>
                            <a:noFill/>
                          </a:ln>
                        </pic:spPr>
                      </pic:pic>
                    </a:graphicData>
                  </a:graphic>
                </wp:inline>
              </w:drawing>
            </w:r>
          </w:p>
          <w:p>
            <w:pPr>
              <w:pStyle w:val="111"/>
              <w:ind w:firstLine="480"/>
              <w:rPr>
                <w:szCs w:val="21"/>
              </w:rPr>
            </w:pPr>
            <w:r>
              <w:rPr>
                <w:szCs w:val="21"/>
              </w:rPr>
              <w:t>式中：Leqg：项目声源在预测点的等效声级贡献值，dB（A）；</w:t>
            </w:r>
          </w:p>
          <w:p>
            <w:pPr>
              <w:pStyle w:val="111"/>
              <w:ind w:firstLine="480"/>
              <w:rPr>
                <w:szCs w:val="21"/>
              </w:rPr>
            </w:pPr>
            <w:r>
              <w:rPr>
                <w:szCs w:val="21"/>
              </w:rPr>
              <w:t>Leqb：预测点的背景值，dB（A）。</w:t>
            </w:r>
          </w:p>
          <w:p>
            <w:pPr>
              <w:pStyle w:val="111"/>
              <w:ind w:firstLine="480"/>
              <w:rPr>
                <w:szCs w:val="21"/>
              </w:rPr>
            </w:pPr>
            <w:r>
              <w:rPr>
                <w:rFonts w:hint="eastAsia"/>
                <w:szCs w:val="21"/>
              </w:rPr>
              <w:t>经计算，厂界噪声预测结果见表</w:t>
            </w:r>
            <w:r>
              <w:rPr>
                <w:szCs w:val="21"/>
              </w:rPr>
              <w:t>4-2</w:t>
            </w:r>
            <w:r>
              <w:rPr>
                <w:rFonts w:hint="eastAsia"/>
                <w:szCs w:val="21"/>
              </w:rPr>
              <w:t>。</w:t>
            </w:r>
          </w:p>
          <w:p>
            <w:pPr>
              <w:pStyle w:val="117"/>
            </w:pPr>
            <w:r>
              <w:rPr>
                <w:rFonts w:hint="eastAsia"/>
              </w:rPr>
              <w:t>表4</w:t>
            </w:r>
            <w:r>
              <w:t>-2</w:t>
            </w:r>
            <w:r>
              <w:rPr>
                <w:rFonts w:hint="eastAsia"/>
              </w:rPr>
              <w:t>厂界噪声预测结果表</w:t>
            </w:r>
          </w:p>
          <w:tbl>
            <w:tblPr>
              <w:tblStyle w:val="23"/>
              <w:tblW w:w="829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17"/>
              <w:gridCol w:w="1433"/>
              <w:gridCol w:w="1615"/>
              <w:gridCol w:w="1615"/>
              <w:gridCol w:w="161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017" w:type="dxa"/>
                  <w:vAlign w:val="center"/>
                </w:tcPr>
                <w:p>
                  <w:pPr>
                    <w:pStyle w:val="67"/>
                  </w:pPr>
                  <w:r>
                    <w:rPr>
                      <w:rFonts w:hint="eastAsia"/>
                    </w:rPr>
                    <w:t>厂界</w:t>
                  </w:r>
                </w:p>
              </w:tc>
              <w:tc>
                <w:tcPr>
                  <w:tcW w:w="1433" w:type="dxa"/>
                  <w:vAlign w:val="center"/>
                </w:tcPr>
                <w:p>
                  <w:pPr>
                    <w:pStyle w:val="67"/>
                  </w:pPr>
                  <w:r>
                    <w:rPr>
                      <w:rFonts w:hint="eastAsia"/>
                    </w:rPr>
                    <w:t>东厂界</w:t>
                  </w:r>
                </w:p>
              </w:tc>
              <w:tc>
                <w:tcPr>
                  <w:tcW w:w="1615" w:type="dxa"/>
                  <w:vAlign w:val="center"/>
                </w:tcPr>
                <w:p>
                  <w:pPr>
                    <w:pStyle w:val="67"/>
                  </w:pPr>
                  <w:r>
                    <w:rPr>
                      <w:rFonts w:hint="eastAsia"/>
                    </w:rPr>
                    <w:t>西厂界</w:t>
                  </w:r>
                </w:p>
              </w:tc>
              <w:tc>
                <w:tcPr>
                  <w:tcW w:w="1615" w:type="dxa"/>
                  <w:vAlign w:val="center"/>
                </w:tcPr>
                <w:p>
                  <w:pPr>
                    <w:pStyle w:val="67"/>
                  </w:pPr>
                  <w:r>
                    <w:rPr>
                      <w:rFonts w:hint="eastAsia"/>
                    </w:rPr>
                    <w:t>南厂界</w:t>
                  </w:r>
                </w:p>
              </w:tc>
              <w:tc>
                <w:tcPr>
                  <w:tcW w:w="1615" w:type="dxa"/>
                  <w:vAlign w:val="center"/>
                </w:tcPr>
                <w:p>
                  <w:pPr>
                    <w:pStyle w:val="67"/>
                  </w:pPr>
                  <w:r>
                    <w:rPr>
                      <w:rFonts w:hint="eastAsia"/>
                    </w:rPr>
                    <w:t>北厂界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017" w:type="dxa"/>
                  <w:vAlign w:val="center"/>
                </w:tcPr>
                <w:p>
                  <w:pPr>
                    <w:pStyle w:val="67"/>
                  </w:pPr>
                  <w:r>
                    <w:rPr>
                      <w:rFonts w:hint="eastAsia"/>
                    </w:rPr>
                    <w:t>贡献值</w:t>
                  </w:r>
                </w:p>
              </w:tc>
              <w:tc>
                <w:tcPr>
                  <w:tcW w:w="1433" w:type="dxa"/>
                </w:tcPr>
                <w:p>
                  <w:pPr>
                    <w:pStyle w:val="67"/>
                  </w:pPr>
                  <w:r>
                    <w:t>47.64</w:t>
                  </w:r>
                </w:p>
              </w:tc>
              <w:tc>
                <w:tcPr>
                  <w:tcW w:w="1615" w:type="dxa"/>
                </w:tcPr>
                <w:p>
                  <w:pPr>
                    <w:pStyle w:val="67"/>
                  </w:pPr>
                  <w:r>
                    <w:t>44.50</w:t>
                  </w:r>
                </w:p>
              </w:tc>
              <w:tc>
                <w:tcPr>
                  <w:tcW w:w="1615" w:type="dxa"/>
                </w:tcPr>
                <w:p>
                  <w:pPr>
                    <w:pStyle w:val="67"/>
                  </w:pPr>
                  <w:r>
                    <w:t>56.63</w:t>
                  </w:r>
                </w:p>
              </w:tc>
              <w:tc>
                <w:tcPr>
                  <w:tcW w:w="1615" w:type="dxa"/>
                </w:tcPr>
                <w:p>
                  <w:pPr>
                    <w:pStyle w:val="67"/>
                  </w:pPr>
                  <w:r>
                    <w:t>44.32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017" w:type="dxa"/>
                  <w:vAlign w:val="center"/>
                </w:tcPr>
                <w:p>
                  <w:pPr>
                    <w:pStyle w:val="67"/>
                  </w:pPr>
                  <w:r>
                    <w:rPr>
                      <w:rFonts w:hint="eastAsia"/>
                    </w:rPr>
                    <w:t>验收阶段厂界噪声</w:t>
                  </w:r>
                </w:p>
              </w:tc>
              <w:tc>
                <w:tcPr>
                  <w:tcW w:w="1433" w:type="dxa"/>
                </w:tcPr>
                <w:p>
                  <w:pPr>
                    <w:pStyle w:val="67"/>
                  </w:pPr>
                  <w:r>
                    <w:rPr>
                      <w:rFonts w:hint="eastAsia"/>
                    </w:rPr>
                    <w:t>5</w:t>
                  </w:r>
                  <w:r>
                    <w:t>3</w:t>
                  </w:r>
                </w:p>
              </w:tc>
              <w:tc>
                <w:tcPr>
                  <w:tcW w:w="1615" w:type="dxa"/>
                </w:tcPr>
                <w:p>
                  <w:pPr>
                    <w:pStyle w:val="67"/>
                  </w:pPr>
                  <w:r>
                    <w:rPr>
                      <w:rFonts w:hint="eastAsia"/>
                    </w:rPr>
                    <w:t>5</w:t>
                  </w:r>
                  <w:r>
                    <w:t>2</w:t>
                  </w:r>
                </w:p>
              </w:tc>
              <w:tc>
                <w:tcPr>
                  <w:tcW w:w="1615" w:type="dxa"/>
                </w:tcPr>
                <w:p>
                  <w:pPr>
                    <w:pStyle w:val="67"/>
                  </w:pPr>
                  <w:r>
                    <w:rPr>
                      <w:rFonts w:hint="eastAsia"/>
                    </w:rPr>
                    <w:t>5</w:t>
                  </w:r>
                  <w:r>
                    <w:t>5</w:t>
                  </w:r>
                </w:p>
              </w:tc>
              <w:tc>
                <w:tcPr>
                  <w:tcW w:w="1615" w:type="dxa"/>
                </w:tcPr>
                <w:p>
                  <w:pPr>
                    <w:pStyle w:val="67"/>
                  </w:pPr>
                  <w:r>
                    <w:rPr>
                      <w:rFonts w:hint="eastAsia"/>
                    </w:rPr>
                    <w:t>5</w:t>
                  </w:r>
                  <w: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017" w:type="dxa"/>
                  <w:vAlign w:val="center"/>
                </w:tcPr>
                <w:p>
                  <w:pPr>
                    <w:pStyle w:val="67"/>
                  </w:pPr>
                  <w:bookmarkStart w:id="293" w:name="OLE_LINK177"/>
                  <w:r>
                    <w:rPr>
                      <w:rFonts w:hint="eastAsia"/>
                    </w:rPr>
                    <w:t>厂界预测值</w:t>
                  </w:r>
                  <w:bookmarkEnd w:id="293"/>
                </w:p>
              </w:tc>
              <w:tc>
                <w:tcPr>
                  <w:tcW w:w="1433" w:type="dxa"/>
                </w:tcPr>
                <w:p>
                  <w:pPr>
                    <w:pStyle w:val="67"/>
                  </w:pPr>
                  <w:r>
                    <w:rPr>
                      <w:rFonts w:hint="eastAsia"/>
                    </w:rPr>
                    <w:t>5</w:t>
                  </w:r>
                  <w:r>
                    <w:t>4.11</w:t>
                  </w:r>
                </w:p>
              </w:tc>
              <w:tc>
                <w:tcPr>
                  <w:tcW w:w="1615" w:type="dxa"/>
                </w:tcPr>
                <w:p>
                  <w:pPr>
                    <w:pStyle w:val="67"/>
                  </w:pPr>
                  <w:r>
                    <w:rPr>
                      <w:rFonts w:hint="eastAsia"/>
                    </w:rPr>
                    <w:t>5</w:t>
                  </w:r>
                  <w:r>
                    <w:t>2.71</w:t>
                  </w:r>
                </w:p>
              </w:tc>
              <w:tc>
                <w:tcPr>
                  <w:tcW w:w="1615" w:type="dxa"/>
                </w:tcPr>
                <w:p>
                  <w:pPr>
                    <w:pStyle w:val="67"/>
                  </w:pPr>
                  <w:r>
                    <w:rPr>
                      <w:rFonts w:hint="eastAsia"/>
                    </w:rPr>
                    <w:t>5</w:t>
                  </w:r>
                  <w:r>
                    <w:t>8.9</w:t>
                  </w:r>
                </w:p>
              </w:tc>
              <w:tc>
                <w:tcPr>
                  <w:tcW w:w="1615" w:type="dxa"/>
                </w:tcPr>
                <w:p>
                  <w:pPr>
                    <w:pStyle w:val="67"/>
                  </w:pPr>
                  <w:r>
                    <w:rPr>
                      <w:rFonts w:hint="eastAsia"/>
                    </w:rPr>
                    <w:t>5</w:t>
                  </w:r>
                  <w:r>
                    <w:t>3.55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017" w:type="dxa"/>
                  <w:vAlign w:val="center"/>
                </w:tcPr>
                <w:p>
                  <w:pPr>
                    <w:pStyle w:val="67"/>
                  </w:pPr>
                  <w:r>
                    <w:rPr>
                      <w:rFonts w:hint="eastAsia"/>
                    </w:rPr>
                    <w:t>标准值</w:t>
                  </w:r>
                </w:p>
              </w:tc>
              <w:tc>
                <w:tcPr>
                  <w:tcW w:w="6278" w:type="dxa"/>
                  <w:gridSpan w:val="4"/>
                  <w:vAlign w:val="center"/>
                </w:tcPr>
                <w:p>
                  <w:pPr>
                    <w:pStyle w:val="67"/>
                    <w:rPr>
                      <w:lang w:eastAsia="zh-CN"/>
                    </w:rPr>
                  </w:pPr>
                  <w:r>
                    <w:rPr>
                      <w:rFonts w:hint="eastAsia"/>
                      <w:lang w:eastAsia="zh-CN"/>
                    </w:rPr>
                    <w:t>《工业企业厂界环境噪声排放标准》（</w:t>
                  </w:r>
                  <w:r>
                    <w:rPr>
                      <w:lang w:eastAsia="zh-CN"/>
                    </w:rPr>
                    <w:t>GB12348-2008</w:t>
                  </w:r>
                  <w:r>
                    <w:rPr>
                      <w:rFonts w:hint="eastAsia"/>
                      <w:lang w:eastAsia="zh-CN"/>
                    </w:rPr>
                    <w:t>）</w:t>
                  </w:r>
                </w:p>
                <w:p>
                  <w:pPr>
                    <w:pStyle w:val="67"/>
                    <w:rPr>
                      <w:lang w:eastAsia="zh-CN"/>
                    </w:rPr>
                  </w:pPr>
                  <w:r>
                    <w:rPr>
                      <w:rFonts w:hint="eastAsia"/>
                      <w:lang w:eastAsia="zh-CN"/>
                    </w:rPr>
                    <w:t>昼间≤</w:t>
                  </w:r>
                  <w:r>
                    <w:rPr>
                      <w:lang w:eastAsia="zh-CN"/>
                    </w:rPr>
                    <w:t>65dB(A)</w:t>
                  </w:r>
                  <w:r>
                    <w:rPr>
                      <w:rFonts w:hint="eastAsia"/>
                      <w:lang w:eastAsia="zh-CN"/>
                    </w:rPr>
                    <w:t>，夜间≤</w:t>
                  </w:r>
                  <w:r>
                    <w:rPr>
                      <w:lang w:eastAsia="zh-CN"/>
                    </w:rPr>
                    <w:t>55dB(A)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017" w:type="dxa"/>
                  <w:vAlign w:val="center"/>
                </w:tcPr>
                <w:p>
                  <w:pPr>
                    <w:pStyle w:val="67"/>
                    <w:rPr>
                      <w:lang w:eastAsia="zh-CN"/>
                    </w:rPr>
                  </w:pPr>
                  <w:r>
                    <w:rPr>
                      <w:rFonts w:hint="eastAsia"/>
                      <w:lang w:eastAsia="zh-CN"/>
                    </w:rPr>
                    <w:t>预测结果</w:t>
                  </w:r>
                </w:p>
              </w:tc>
              <w:tc>
                <w:tcPr>
                  <w:tcW w:w="1433" w:type="dxa"/>
                  <w:vAlign w:val="center"/>
                </w:tcPr>
                <w:p>
                  <w:pPr>
                    <w:pStyle w:val="67"/>
                    <w:rPr>
                      <w:lang w:eastAsia="zh-CN"/>
                    </w:rPr>
                  </w:pPr>
                  <w:r>
                    <w:rPr>
                      <w:rFonts w:hint="eastAsia"/>
                      <w:lang w:eastAsia="zh-CN"/>
                    </w:rPr>
                    <w:t>达标</w:t>
                  </w:r>
                </w:p>
              </w:tc>
              <w:tc>
                <w:tcPr>
                  <w:tcW w:w="1615" w:type="dxa"/>
                  <w:vAlign w:val="center"/>
                </w:tcPr>
                <w:p>
                  <w:pPr>
                    <w:pStyle w:val="67"/>
                    <w:rPr>
                      <w:lang w:eastAsia="zh-CN"/>
                    </w:rPr>
                  </w:pPr>
                  <w:r>
                    <w:rPr>
                      <w:rFonts w:hint="eastAsia"/>
                      <w:lang w:eastAsia="zh-CN"/>
                    </w:rPr>
                    <w:t>达标</w:t>
                  </w:r>
                </w:p>
              </w:tc>
              <w:tc>
                <w:tcPr>
                  <w:tcW w:w="1615" w:type="dxa"/>
                  <w:vAlign w:val="center"/>
                </w:tcPr>
                <w:p>
                  <w:pPr>
                    <w:pStyle w:val="67"/>
                    <w:rPr>
                      <w:lang w:eastAsia="zh-CN"/>
                    </w:rPr>
                  </w:pPr>
                  <w:r>
                    <w:rPr>
                      <w:rFonts w:hint="eastAsia"/>
                      <w:lang w:eastAsia="zh-CN"/>
                    </w:rPr>
                    <w:t>达标</w:t>
                  </w:r>
                </w:p>
              </w:tc>
              <w:tc>
                <w:tcPr>
                  <w:tcW w:w="1615" w:type="dxa"/>
                  <w:vAlign w:val="center"/>
                </w:tcPr>
                <w:p>
                  <w:pPr>
                    <w:pStyle w:val="67"/>
                    <w:rPr>
                      <w:lang w:eastAsia="zh-CN"/>
                    </w:rPr>
                  </w:pPr>
                  <w:r>
                    <w:rPr>
                      <w:rFonts w:hint="eastAsia"/>
                      <w:lang w:eastAsia="zh-CN"/>
                    </w:rPr>
                    <w:t>达标</w:t>
                  </w:r>
                </w:p>
              </w:tc>
            </w:tr>
          </w:tbl>
          <w:p>
            <w:pPr>
              <w:pStyle w:val="111"/>
              <w:ind w:firstLine="480"/>
              <w:rPr>
                <w:szCs w:val="21"/>
              </w:rPr>
            </w:pPr>
            <w:bookmarkStart w:id="294" w:name="_Hlk176423986"/>
            <w:r>
              <w:rPr>
                <w:rFonts w:hint="eastAsia"/>
                <w:szCs w:val="21"/>
              </w:rPr>
              <w:t>根据企业验收监测报告，现有工程主要噪声为旋流分离器、振动筛、压滤机、皮带运输机、水泵等生产设备产生的噪声，</w:t>
            </w:r>
            <w:r>
              <w:rPr>
                <w:bCs/>
                <w:szCs w:val="21"/>
              </w:rPr>
              <w:t>监测期间</w:t>
            </w:r>
            <w:r>
              <w:rPr>
                <w:rFonts w:hint="eastAsia"/>
                <w:bCs/>
                <w:szCs w:val="21"/>
              </w:rPr>
              <w:t>现有工程</w:t>
            </w:r>
            <w:r>
              <w:rPr>
                <w:bCs/>
                <w:szCs w:val="21"/>
              </w:rPr>
              <w:t>厂界噪声值昼间最大值为</w:t>
            </w:r>
            <w:r>
              <w:rPr>
                <w:rFonts w:hint="eastAsia"/>
                <w:bCs/>
                <w:szCs w:val="21"/>
              </w:rPr>
              <w:t>55</w:t>
            </w:r>
            <w:r>
              <w:rPr>
                <w:bCs/>
                <w:szCs w:val="21"/>
              </w:rPr>
              <w:t>dB(A)，结果均符合《工业企业厂界环境噪声排放标准》（GB 12348-2008）</w:t>
            </w:r>
            <w:r>
              <w:rPr>
                <w:rFonts w:hint="eastAsia"/>
                <w:bCs/>
                <w:szCs w:val="21"/>
              </w:rPr>
              <w:t>3</w:t>
            </w:r>
            <w:r>
              <w:rPr>
                <w:bCs/>
                <w:szCs w:val="21"/>
              </w:rPr>
              <w:t>类</w:t>
            </w:r>
            <w:r>
              <w:rPr>
                <w:rFonts w:hint="eastAsia"/>
                <w:bCs/>
                <w:szCs w:val="21"/>
              </w:rPr>
              <w:t>标准要求</w:t>
            </w:r>
            <w:r>
              <w:rPr>
                <w:bCs/>
                <w:szCs w:val="21"/>
              </w:rPr>
              <w:t>。</w:t>
            </w:r>
            <w:r>
              <w:rPr>
                <w:rFonts w:hint="eastAsia"/>
                <w:szCs w:val="21"/>
              </w:rPr>
              <w:t>本项目运营期厂界</w:t>
            </w:r>
            <w:bookmarkStart w:id="295" w:name="OLE_LINK186"/>
            <w:bookmarkStart w:id="296" w:name="OLE_LINK187"/>
            <w:r>
              <w:rPr>
                <w:rFonts w:hint="eastAsia"/>
                <w:szCs w:val="21"/>
              </w:rPr>
              <w:t>昼间噪声贡献值在</w:t>
            </w:r>
            <w:r>
              <w:t>44.32</w:t>
            </w:r>
            <w:bookmarkStart w:id="297" w:name="OLE_LINK183"/>
            <w:bookmarkStart w:id="298" w:name="OLE_LINK182"/>
            <w:r>
              <w:rPr>
                <w:rFonts w:hint="eastAsia"/>
                <w:szCs w:val="21"/>
              </w:rPr>
              <w:t>dB(A)~</w:t>
            </w:r>
            <w:r>
              <w:t>56.63</w:t>
            </w:r>
            <w:r>
              <w:rPr>
                <w:rFonts w:hint="eastAsia"/>
                <w:szCs w:val="21"/>
              </w:rPr>
              <w:t>d</w:t>
            </w:r>
            <w:bookmarkEnd w:id="297"/>
            <w:bookmarkEnd w:id="298"/>
            <w:r>
              <w:rPr>
                <w:rFonts w:hint="eastAsia"/>
                <w:szCs w:val="21"/>
              </w:rPr>
              <w:t>B(A)之间</w:t>
            </w:r>
            <w:bookmarkEnd w:id="295"/>
            <w:bookmarkEnd w:id="296"/>
            <w:r>
              <w:rPr>
                <w:rFonts w:hint="eastAsia"/>
                <w:szCs w:val="21"/>
              </w:rPr>
              <w:t>，远小于《工业企业厂界环境噪声排放标准》（GB12348-2008）标准限值要求（昼间65</w:t>
            </w:r>
            <w:bookmarkStart w:id="299" w:name="OLE_LINK198"/>
            <w:bookmarkStart w:id="300" w:name="OLE_LINK199"/>
            <w:r>
              <w:rPr>
                <w:rFonts w:hint="eastAsia"/>
                <w:szCs w:val="21"/>
              </w:rPr>
              <w:t>dB（A）</w:t>
            </w:r>
            <w:bookmarkEnd w:id="299"/>
            <w:bookmarkEnd w:id="300"/>
            <w:r>
              <w:rPr>
                <w:rFonts w:hint="eastAsia"/>
                <w:szCs w:val="21"/>
              </w:rPr>
              <w:t>），与现有工程叠加后噪声增加量较小，因此技改后厂界噪声可满足《工业企业厂界环境噪声排放标准》GB12348-2008中3类标准限值。</w:t>
            </w:r>
            <w:bookmarkEnd w:id="285"/>
            <w:bookmarkEnd w:id="286"/>
          </w:p>
          <w:bookmarkEnd w:id="294"/>
          <w:p>
            <w:pPr>
              <w:pStyle w:val="92"/>
              <w:spacing w:before="120"/>
              <w:rPr>
                <w:rFonts w:hint="default"/>
                <w:color w:val="auto"/>
              </w:rPr>
            </w:pPr>
            <w:r>
              <w:rPr>
                <w:rFonts w:hint="default"/>
                <w:color w:val="auto"/>
              </w:rPr>
              <w:t>固体废物</w:t>
            </w:r>
          </w:p>
          <w:p>
            <w:pPr>
              <w:pStyle w:val="81"/>
              <w:ind w:firstLine="480"/>
            </w:pPr>
            <w:r>
              <w:rPr>
                <w:highlight w:val="yellow"/>
              </w:rPr>
              <w:t>项目</w:t>
            </w:r>
            <w:r>
              <w:rPr>
                <w:rFonts w:hint="eastAsia"/>
                <w:highlight w:val="yellow"/>
              </w:rPr>
              <w:t>危险废物</w:t>
            </w:r>
            <w:r>
              <w:rPr>
                <w:highlight w:val="yellow"/>
              </w:rPr>
              <w:t>主要为设备维护过程中产生的废机油</w:t>
            </w:r>
            <w:r>
              <w:rPr>
                <w:rFonts w:hint="eastAsia"/>
                <w:highlight w:val="yellow"/>
              </w:rPr>
              <w:t>和</w:t>
            </w:r>
            <w:r>
              <w:rPr>
                <w:highlight w:val="yellow"/>
              </w:rPr>
              <w:t>废机油桶</w:t>
            </w:r>
            <w:r>
              <w:rPr>
                <w:rFonts w:hint="eastAsia"/>
                <w:highlight w:val="yellow"/>
              </w:rPr>
              <w:t>；一般固废为废水循环池底泥和废滤布。</w:t>
            </w:r>
          </w:p>
          <w:p>
            <w:pPr>
              <w:pStyle w:val="81"/>
              <w:ind w:firstLine="480"/>
            </w:pPr>
            <w:r>
              <w:rPr>
                <w:rFonts w:hint="eastAsia"/>
              </w:rPr>
              <w:t>①废机油</w:t>
            </w:r>
          </w:p>
          <w:p>
            <w:pPr>
              <w:pStyle w:val="81"/>
              <w:ind w:firstLine="480"/>
            </w:pPr>
            <w:bookmarkStart w:id="301" w:name="OLE_LINK301"/>
            <w:bookmarkStart w:id="302" w:name="OLE_LINK302"/>
            <w:r>
              <w:rPr>
                <w:rFonts w:hint="eastAsia"/>
              </w:rPr>
              <w:t>废机油</w:t>
            </w:r>
            <w:r>
              <w:t>产生量约为1t/a，</w:t>
            </w:r>
            <w:bookmarkEnd w:id="301"/>
            <w:bookmarkEnd w:id="302"/>
            <w:r>
              <w:t>废机油属于危险废物，危废代码为HW08</w:t>
            </w:r>
            <w:r>
              <w:rPr>
                <w:rFonts w:hint="eastAsia"/>
              </w:rPr>
              <w:t>（</w:t>
            </w:r>
            <w:r>
              <w:t>900-214-08</w:t>
            </w:r>
            <w:r>
              <w:rPr>
                <w:rFonts w:hint="eastAsia"/>
              </w:rPr>
              <w:t>）</w:t>
            </w:r>
            <w:r>
              <w:t>，收集后在厂区危废物暂存，需定期委托有资质单位处理。</w:t>
            </w:r>
          </w:p>
          <w:p>
            <w:pPr>
              <w:pStyle w:val="81"/>
              <w:ind w:firstLine="480"/>
            </w:pPr>
            <w:r>
              <w:rPr>
                <w:rFonts w:hint="eastAsia"/>
              </w:rPr>
              <w:t>②废机油桶</w:t>
            </w:r>
          </w:p>
          <w:p>
            <w:pPr>
              <w:pStyle w:val="81"/>
              <w:ind w:firstLine="480"/>
            </w:pPr>
            <w:r>
              <w:t>项目</w:t>
            </w:r>
            <w:r>
              <w:rPr>
                <w:rFonts w:hint="eastAsia"/>
              </w:rPr>
              <w:t>盛装废</w:t>
            </w:r>
            <w:r>
              <w:t>机油的过程中会产生废机油桶</w:t>
            </w:r>
            <w:r>
              <w:rPr>
                <w:rFonts w:hint="eastAsia"/>
              </w:rPr>
              <w:t>以及新机油产生的废桶</w:t>
            </w:r>
            <w:r>
              <w:t>，产生量约为0.05t/a，属于危险废物，危废代码</w:t>
            </w:r>
            <w:r>
              <w:rPr>
                <w:rFonts w:hint="eastAsia"/>
              </w:rPr>
              <w:t>分别</w:t>
            </w:r>
            <w:r>
              <w:t>为HW49</w:t>
            </w:r>
            <w:r>
              <w:rPr>
                <w:rFonts w:hint="eastAsia"/>
              </w:rPr>
              <w:t>（</w:t>
            </w:r>
            <w:r>
              <w:t>900-041-49</w:t>
            </w:r>
            <w:r>
              <w:rPr>
                <w:rFonts w:hint="eastAsia"/>
              </w:rPr>
              <w:t>）、HW08（900-249-08）</w:t>
            </w:r>
            <w:r>
              <w:t>，收集后在厂区危废库暂存，需定期委托有资质单位处理</w:t>
            </w:r>
            <w:r>
              <w:rPr>
                <w:rFonts w:hint="eastAsia"/>
              </w:rPr>
              <w:t>。</w:t>
            </w:r>
          </w:p>
          <w:p>
            <w:pPr>
              <w:pStyle w:val="81"/>
              <w:ind w:firstLine="480"/>
            </w:pPr>
            <w:r>
              <w:rPr>
                <w:rFonts w:hint="eastAsia"/>
              </w:rPr>
              <w:t>③</w:t>
            </w:r>
            <w:bookmarkStart w:id="303" w:name="OLE_LINK209"/>
            <w:bookmarkStart w:id="304" w:name="OLE_LINK208"/>
            <w:r>
              <w:rPr>
                <w:rFonts w:hint="eastAsia"/>
              </w:rPr>
              <w:t>废水循环池底泥</w:t>
            </w:r>
            <w:bookmarkEnd w:id="303"/>
            <w:bookmarkEnd w:id="304"/>
          </w:p>
          <w:p>
            <w:pPr>
              <w:pStyle w:val="81"/>
              <w:ind w:firstLine="480"/>
            </w:pPr>
            <w:r>
              <w:t>根据相关企业经验可知，循环水量约为101.31t/d，经废水循环池沉淀后用泵打入混料桶循环使用。废水循环</w:t>
            </w:r>
            <w:r>
              <w:rPr>
                <w:rFonts w:hint="eastAsia"/>
              </w:rPr>
              <w:t>池底泥定期清理，</w:t>
            </w:r>
            <w:bookmarkStart w:id="305" w:name="OLE_LINK319"/>
            <w:bookmarkStart w:id="306" w:name="OLE_LINK318"/>
            <w:r>
              <w:rPr>
                <w:rFonts w:hint="eastAsia"/>
              </w:rPr>
              <w:t>底泥</w:t>
            </w:r>
            <w:bookmarkEnd w:id="305"/>
            <w:bookmarkEnd w:id="306"/>
            <w:r>
              <w:rPr>
                <w:rFonts w:hint="eastAsia"/>
              </w:rPr>
              <w:t>产生量为</w:t>
            </w:r>
            <w:r>
              <w:t>3</w:t>
            </w:r>
            <w:r>
              <w:rPr>
                <w:rFonts w:hint="eastAsia"/>
              </w:rPr>
              <w:t>t/</w:t>
            </w:r>
            <w:r>
              <w:t>a</w:t>
            </w:r>
            <w:r>
              <w:rPr>
                <w:rFonts w:hint="eastAsia"/>
              </w:rPr>
              <w:t>。</w:t>
            </w:r>
          </w:p>
          <w:p>
            <w:pPr>
              <w:pStyle w:val="81"/>
              <w:ind w:firstLine="480"/>
              <w:rPr>
                <w:highlight w:val="yellow"/>
              </w:rPr>
            </w:pPr>
            <w:r>
              <w:rPr>
                <w:rFonts w:hint="eastAsia"/>
                <w:highlight w:val="yellow"/>
              </w:rPr>
              <w:t>④废滤布</w:t>
            </w:r>
          </w:p>
          <w:p>
            <w:pPr>
              <w:pStyle w:val="81"/>
              <w:ind w:firstLine="480"/>
            </w:pPr>
            <w:r>
              <w:rPr>
                <w:rFonts w:hint="eastAsia"/>
                <w:highlight w:val="yellow"/>
              </w:rPr>
              <w:t>废滤布</w:t>
            </w:r>
            <w:r>
              <w:rPr>
                <w:highlight w:val="yellow"/>
              </w:rPr>
              <w:t>产生量约为0.1t/a，</w:t>
            </w:r>
            <w:r>
              <w:rPr>
                <w:rFonts w:hint="eastAsia"/>
                <w:highlight w:val="yellow"/>
              </w:rPr>
              <w:t>定期更换，由设备厂家回收处理。</w:t>
            </w:r>
          </w:p>
          <w:p>
            <w:pPr>
              <w:pStyle w:val="89"/>
              <w:rPr>
                <w:rFonts w:hint="default"/>
              </w:rPr>
            </w:pPr>
            <w:r>
              <w:t>表4-</w:t>
            </w:r>
            <w:r>
              <w:rPr>
                <w:rFonts w:hint="default"/>
              </w:rPr>
              <w:t xml:space="preserve">3   </w:t>
            </w:r>
            <w:r>
              <w:t>危废性质一览表</w:t>
            </w: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0"/>
              <w:gridCol w:w="1201"/>
              <w:gridCol w:w="1801"/>
              <w:gridCol w:w="862"/>
              <w:gridCol w:w="1109"/>
              <w:gridCol w:w="963"/>
              <w:gridCol w:w="15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1" w:type="pct"/>
                  <w:vAlign w:val="center"/>
                </w:tcPr>
                <w:p>
                  <w:pPr>
                    <w:pStyle w:val="89"/>
                    <w:rPr>
                      <w:rFonts w:hint="default"/>
                      <w:color w:val="auto"/>
                      <w:sz w:val="21"/>
                    </w:rPr>
                  </w:pPr>
                  <w:r>
                    <w:rPr>
                      <w:color w:val="auto"/>
                      <w:sz w:val="21"/>
                    </w:rPr>
                    <w:t>序号</w:t>
                  </w:r>
                </w:p>
              </w:tc>
              <w:tc>
                <w:tcPr>
                  <w:tcW w:w="725" w:type="pct"/>
                  <w:vAlign w:val="center"/>
                </w:tcPr>
                <w:p>
                  <w:pPr>
                    <w:pStyle w:val="89"/>
                    <w:rPr>
                      <w:rFonts w:hint="default"/>
                      <w:color w:val="auto"/>
                      <w:sz w:val="21"/>
                    </w:rPr>
                  </w:pPr>
                  <w:r>
                    <w:rPr>
                      <w:color w:val="auto"/>
                      <w:sz w:val="21"/>
                    </w:rPr>
                    <w:t>危废名称</w:t>
                  </w:r>
                </w:p>
              </w:tc>
              <w:tc>
                <w:tcPr>
                  <w:tcW w:w="1087" w:type="pct"/>
                  <w:vAlign w:val="center"/>
                </w:tcPr>
                <w:p>
                  <w:pPr>
                    <w:pStyle w:val="89"/>
                    <w:rPr>
                      <w:rFonts w:hint="default"/>
                      <w:color w:val="auto"/>
                      <w:sz w:val="21"/>
                    </w:rPr>
                  </w:pPr>
                  <w:r>
                    <w:rPr>
                      <w:color w:val="auto"/>
                      <w:sz w:val="21"/>
                    </w:rPr>
                    <w:t>固废种类</w:t>
                  </w:r>
                </w:p>
              </w:tc>
              <w:tc>
                <w:tcPr>
                  <w:tcW w:w="520" w:type="pct"/>
                  <w:vAlign w:val="center"/>
                </w:tcPr>
                <w:p>
                  <w:pPr>
                    <w:pStyle w:val="89"/>
                    <w:rPr>
                      <w:rFonts w:hint="default"/>
                      <w:color w:val="auto"/>
                      <w:sz w:val="21"/>
                    </w:rPr>
                  </w:pPr>
                  <w:r>
                    <w:rPr>
                      <w:color w:val="auto"/>
                      <w:sz w:val="21"/>
                    </w:rPr>
                    <w:t>产生量t</w:t>
                  </w:r>
                  <w:r>
                    <w:rPr>
                      <w:rFonts w:hint="default"/>
                      <w:color w:val="auto"/>
                      <w:sz w:val="21"/>
                    </w:rPr>
                    <w:t>/</w:t>
                  </w:r>
                  <w:r>
                    <w:rPr>
                      <w:color w:val="auto"/>
                      <w:sz w:val="21"/>
                    </w:rPr>
                    <w:t>a</w:t>
                  </w:r>
                </w:p>
              </w:tc>
              <w:tc>
                <w:tcPr>
                  <w:tcW w:w="669" w:type="pct"/>
                  <w:vAlign w:val="center"/>
                </w:tcPr>
                <w:p>
                  <w:pPr>
                    <w:pStyle w:val="89"/>
                    <w:rPr>
                      <w:rFonts w:hint="default"/>
                      <w:color w:val="auto"/>
                      <w:sz w:val="21"/>
                    </w:rPr>
                  </w:pPr>
                  <w:r>
                    <w:rPr>
                      <w:color w:val="auto"/>
                      <w:sz w:val="21"/>
                    </w:rPr>
                    <w:t>形态</w:t>
                  </w:r>
                </w:p>
              </w:tc>
              <w:tc>
                <w:tcPr>
                  <w:tcW w:w="581" w:type="pct"/>
                  <w:vAlign w:val="center"/>
                </w:tcPr>
                <w:p>
                  <w:pPr>
                    <w:pStyle w:val="89"/>
                    <w:rPr>
                      <w:rFonts w:hint="default"/>
                      <w:color w:val="auto"/>
                      <w:sz w:val="21"/>
                    </w:rPr>
                  </w:pPr>
                  <w:r>
                    <w:rPr>
                      <w:color w:val="auto"/>
                      <w:sz w:val="21"/>
                    </w:rPr>
                    <w:t>有害成分</w:t>
                  </w:r>
                </w:p>
              </w:tc>
              <w:tc>
                <w:tcPr>
                  <w:tcW w:w="917" w:type="pct"/>
                  <w:vAlign w:val="center"/>
                </w:tcPr>
                <w:p>
                  <w:pPr>
                    <w:pStyle w:val="89"/>
                    <w:rPr>
                      <w:rFonts w:hint="default"/>
                      <w:color w:val="auto"/>
                      <w:sz w:val="21"/>
                    </w:rPr>
                  </w:pPr>
                  <w:r>
                    <w:rPr>
                      <w:color w:val="auto"/>
                      <w:sz w:val="21"/>
                    </w:rPr>
                    <w:t>处置方式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trPr>
              <w:tc>
                <w:tcPr>
                  <w:tcW w:w="501" w:type="pct"/>
                  <w:vAlign w:val="center"/>
                </w:tcPr>
                <w:p>
                  <w:pPr>
                    <w:pStyle w:val="84"/>
                  </w:pPr>
                  <w:r>
                    <w:t>1</w:t>
                  </w:r>
                </w:p>
              </w:tc>
              <w:tc>
                <w:tcPr>
                  <w:tcW w:w="725" w:type="pct"/>
                  <w:vAlign w:val="center"/>
                </w:tcPr>
                <w:p>
                  <w:pPr>
                    <w:pStyle w:val="84"/>
                  </w:pPr>
                  <w:r>
                    <w:t>废机油</w:t>
                  </w:r>
                </w:p>
              </w:tc>
              <w:tc>
                <w:tcPr>
                  <w:tcW w:w="1087" w:type="pct"/>
                  <w:vAlign w:val="center"/>
                </w:tcPr>
                <w:p>
                  <w:pPr>
                    <w:pStyle w:val="84"/>
                  </w:pPr>
                  <w:r>
                    <w:rPr>
                      <w:rFonts w:hint="eastAsia"/>
                      <w:bCs/>
                      <w:kern w:val="0"/>
                    </w:rPr>
                    <w:t>危险废物</w:t>
                  </w:r>
                </w:p>
              </w:tc>
              <w:tc>
                <w:tcPr>
                  <w:tcW w:w="520" w:type="pct"/>
                  <w:vAlign w:val="center"/>
                </w:tcPr>
                <w:p>
                  <w:pPr>
                    <w:pStyle w:val="84"/>
                  </w:pPr>
                  <w:r>
                    <w:rPr>
                      <w:rFonts w:hint="eastAsia"/>
                    </w:rPr>
                    <w:t>1</w:t>
                  </w:r>
                </w:p>
              </w:tc>
              <w:tc>
                <w:tcPr>
                  <w:tcW w:w="669" w:type="pct"/>
                  <w:vAlign w:val="center"/>
                </w:tcPr>
                <w:p>
                  <w:pPr>
                    <w:pStyle w:val="84"/>
                  </w:pPr>
                  <w:r>
                    <w:t>液态</w:t>
                  </w:r>
                </w:p>
              </w:tc>
              <w:tc>
                <w:tcPr>
                  <w:tcW w:w="581" w:type="pct"/>
                  <w:vAlign w:val="center"/>
                </w:tcPr>
                <w:p>
                  <w:pPr>
                    <w:pStyle w:val="84"/>
                  </w:pPr>
                  <w:r>
                    <w:t>矿物油</w:t>
                  </w:r>
                </w:p>
              </w:tc>
              <w:tc>
                <w:tcPr>
                  <w:tcW w:w="917" w:type="pct"/>
                  <w:vMerge w:val="restart"/>
                  <w:vAlign w:val="center"/>
                </w:tcPr>
                <w:p>
                  <w:pPr>
                    <w:pStyle w:val="84"/>
                  </w:pPr>
                  <w:r>
                    <w:rPr>
                      <w:rFonts w:hint="eastAsia"/>
                      <w:bCs/>
                      <w:kern w:val="0"/>
                    </w:rPr>
                    <w:t>依托现有危废暂存间暂存，委托有资质单位进行处理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1" w:type="pct"/>
                  <w:vAlign w:val="center"/>
                </w:tcPr>
                <w:p>
                  <w:pPr>
                    <w:pStyle w:val="84"/>
                  </w:pPr>
                  <w:r>
                    <w:t>2</w:t>
                  </w:r>
                </w:p>
              </w:tc>
              <w:tc>
                <w:tcPr>
                  <w:tcW w:w="725" w:type="pct"/>
                  <w:vAlign w:val="center"/>
                </w:tcPr>
                <w:p>
                  <w:pPr>
                    <w:pStyle w:val="84"/>
                  </w:pPr>
                  <w:r>
                    <w:t>废机油桶</w:t>
                  </w:r>
                </w:p>
              </w:tc>
              <w:tc>
                <w:tcPr>
                  <w:tcW w:w="1087" w:type="pct"/>
                  <w:vAlign w:val="center"/>
                </w:tcPr>
                <w:p>
                  <w:pPr>
                    <w:pStyle w:val="84"/>
                  </w:pPr>
                  <w:r>
                    <w:rPr>
                      <w:rFonts w:hint="eastAsia"/>
                      <w:bCs/>
                      <w:kern w:val="0"/>
                    </w:rPr>
                    <w:t>危险废物</w:t>
                  </w:r>
                </w:p>
              </w:tc>
              <w:tc>
                <w:tcPr>
                  <w:tcW w:w="520" w:type="pct"/>
                  <w:vAlign w:val="center"/>
                </w:tcPr>
                <w:p>
                  <w:pPr>
                    <w:pStyle w:val="84"/>
                  </w:pPr>
                  <w:r>
                    <w:rPr>
                      <w:rFonts w:hint="eastAsia"/>
                    </w:rPr>
                    <w:t>0</w:t>
                  </w:r>
                  <w:r>
                    <w:t>.05</w:t>
                  </w:r>
                </w:p>
              </w:tc>
              <w:tc>
                <w:tcPr>
                  <w:tcW w:w="669" w:type="pct"/>
                  <w:vAlign w:val="center"/>
                </w:tcPr>
                <w:p>
                  <w:pPr>
                    <w:pStyle w:val="84"/>
                  </w:pPr>
                  <w:r>
                    <w:t>固态</w:t>
                  </w:r>
                </w:p>
              </w:tc>
              <w:tc>
                <w:tcPr>
                  <w:tcW w:w="581" w:type="pct"/>
                  <w:vAlign w:val="center"/>
                </w:tcPr>
                <w:p>
                  <w:pPr>
                    <w:pStyle w:val="84"/>
                  </w:pPr>
                  <w:r>
                    <w:t>矿物油</w:t>
                  </w:r>
                </w:p>
              </w:tc>
              <w:tc>
                <w:tcPr>
                  <w:tcW w:w="917" w:type="pct"/>
                  <w:vMerge w:val="continue"/>
                  <w:vAlign w:val="center"/>
                </w:tcPr>
                <w:p>
                  <w:pPr>
                    <w:pStyle w:val="84"/>
                  </w:pPr>
                </w:p>
              </w:tc>
            </w:tr>
          </w:tbl>
          <w:p>
            <w:pPr>
              <w:pStyle w:val="81"/>
              <w:ind w:firstLine="482"/>
              <w:rPr>
                <w:b/>
                <w:bCs/>
              </w:rPr>
            </w:pPr>
            <w:r>
              <w:rPr>
                <w:rFonts w:hint="eastAsia"/>
                <w:b/>
                <w:bCs/>
              </w:rPr>
              <w:t>4</w:t>
            </w:r>
            <w:r>
              <w:rPr>
                <w:b/>
                <w:bCs/>
              </w:rPr>
              <w:t>.1环境管理要求</w:t>
            </w:r>
          </w:p>
          <w:p>
            <w:pPr>
              <w:pStyle w:val="82"/>
              <w:rPr>
                <w:rFonts w:hint="default"/>
              </w:rPr>
            </w:pPr>
            <w:r>
              <w:t>本项目危险固废应尽快送往有资质的危废处理单位处理，不宜存放过长时间，确需暂存的，危废贮存场所应做到以下几点：</w:t>
            </w:r>
          </w:p>
          <w:p>
            <w:pPr>
              <w:pStyle w:val="81"/>
              <w:ind w:firstLine="480"/>
            </w:pPr>
            <w:r>
              <w:rPr>
                <w:rFonts w:hint="eastAsia"/>
              </w:rPr>
              <w:t>①贮存场所应符合《危险废物贮存污染控制标准》（</w:t>
            </w:r>
            <w:r>
              <w:t>GB18597-2023</w:t>
            </w:r>
            <w:r>
              <w:rPr>
                <w:rFonts w:hint="eastAsia"/>
              </w:rPr>
              <w:t>）中要求，有符合要求的专用标志。</w:t>
            </w:r>
          </w:p>
          <w:p>
            <w:pPr>
              <w:pStyle w:val="81"/>
              <w:ind w:firstLine="480"/>
            </w:pPr>
            <w:r>
              <w:rPr>
                <w:rFonts w:hint="eastAsia"/>
              </w:rPr>
              <w:t>②危险废物贮存场所必须按《危险废物识别标志设置技术规范》（</w:t>
            </w:r>
            <w:r>
              <w:t>HJ1276</w:t>
            </w:r>
            <w:r>
              <w:rPr>
                <w:rFonts w:hint="eastAsia"/>
              </w:rPr>
              <w:t>）规定设置警示标志。</w:t>
            </w:r>
          </w:p>
          <w:p>
            <w:pPr>
              <w:pStyle w:val="81"/>
              <w:ind w:firstLine="480"/>
            </w:pPr>
            <w:r>
              <w:rPr>
                <w:rFonts w:hint="eastAsia"/>
              </w:rPr>
              <w:t>③贮存设施所有者或运营者应配备满足其突发环境事件应急要求的应急人员、装备和物资，并应设置应急照明系统。</w:t>
            </w:r>
          </w:p>
          <w:p>
            <w:pPr>
              <w:pStyle w:val="81"/>
              <w:ind w:firstLine="480"/>
            </w:pPr>
            <w:r>
              <w:rPr>
                <w:rFonts w:hint="eastAsia"/>
              </w:rPr>
              <w:t>④贮存危险废物应根据危险废物的类别、形态、物理化学性质和污染防治要求进行分类贮存，且应避免危险废物与不相容的物质或材料接触。</w:t>
            </w:r>
          </w:p>
          <w:p>
            <w:pPr>
              <w:pStyle w:val="81"/>
              <w:ind w:firstLine="480"/>
            </w:pPr>
            <w:r>
              <w:rPr>
                <w:rFonts w:hint="eastAsia"/>
              </w:rPr>
              <w:t>⑤贮存容器必须有明显标志，具有耐腐蚀、耐压、密封和不与所贮存的废物发生反应等特性。</w:t>
            </w:r>
          </w:p>
          <w:p>
            <w:pPr>
              <w:pStyle w:val="81"/>
              <w:ind w:firstLine="480"/>
            </w:pPr>
            <w:r>
              <w:rPr>
                <w:rFonts w:hint="eastAsia"/>
              </w:rPr>
              <w:t>⑥根据现有工程验收监测报告，危废库</w:t>
            </w:r>
            <w:r>
              <w:rPr>
                <w:rFonts w:hint="eastAsia"/>
                <w:bCs/>
              </w:rPr>
              <w:t>采用</w:t>
            </w:r>
            <w:r>
              <w:rPr>
                <w:bCs/>
              </w:rPr>
              <w:t>2mm</w:t>
            </w:r>
            <w:r>
              <w:rPr>
                <w:rFonts w:hint="eastAsia"/>
                <w:bCs/>
              </w:rPr>
              <w:t>厚高密度聚乙烯膜</w:t>
            </w:r>
            <w:r>
              <w:rPr>
                <w:bCs/>
              </w:rPr>
              <w:t>+20mm</w:t>
            </w:r>
            <w:r>
              <w:rPr>
                <w:rFonts w:hint="eastAsia"/>
                <w:bCs/>
              </w:rPr>
              <w:t>厚水泥砂浆</w:t>
            </w:r>
            <w:r>
              <w:rPr>
                <w:bCs/>
              </w:rPr>
              <w:t>+</w:t>
            </w:r>
            <w:r>
              <w:rPr>
                <w:rFonts w:hint="eastAsia"/>
                <w:bCs/>
              </w:rPr>
              <w:t>防水防腐涂料，渗透系数</w:t>
            </w:r>
            <w:r>
              <w:rPr>
                <w:bCs/>
              </w:rPr>
              <w:t>≤10</w:t>
            </w:r>
            <w:r>
              <w:rPr>
                <w:bCs/>
                <w:vertAlign w:val="superscript"/>
              </w:rPr>
              <w:t>-10</w:t>
            </w:r>
            <w:r>
              <w:rPr>
                <w:bCs/>
              </w:rPr>
              <w:t>cm/s</w:t>
            </w:r>
            <w:r>
              <w:rPr>
                <w:rFonts w:hint="eastAsia"/>
                <w:bCs/>
              </w:rPr>
              <w:t>。</w:t>
            </w:r>
            <w:r>
              <w:rPr>
                <w:rFonts w:hint="eastAsia"/>
              </w:rPr>
              <w:t>《危险废物贮存污染控制标准》（</w:t>
            </w:r>
            <w:r>
              <w:t>GB18597-2023</w:t>
            </w:r>
            <w:r>
              <w:rPr>
                <w:rFonts w:hint="eastAsia"/>
              </w:rPr>
              <w:t>）中要求防渗层为至少</w:t>
            </w:r>
            <w:r>
              <w:t>1m厚黏土层（渗透系数不大于10</w:t>
            </w:r>
            <w:r>
              <w:rPr>
                <w:vertAlign w:val="superscript"/>
              </w:rPr>
              <w:t>-7</w:t>
            </w:r>
            <w:r>
              <w:t>cm/s），或至少2mm厚高密度聚乙烯膜等人工防渗材料（渗透系数不大于10</w:t>
            </w:r>
            <w:r>
              <w:rPr>
                <w:vertAlign w:val="superscript"/>
              </w:rPr>
              <w:t>-10</w:t>
            </w:r>
            <w:r>
              <w:t>cm/s）</w:t>
            </w:r>
            <w:r>
              <w:rPr>
                <w:rFonts w:hint="eastAsia"/>
              </w:rPr>
              <w:t>，因此，现有工程危废库</w:t>
            </w:r>
            <w:r>
              <w:rPr>
                <w:rFonts w:hint="eastAsia"/>
                <w:bCs/>
              </w:rPr>
              <w:t>满足防渗要求</w:t>
            </w:r>
            <w:r>
              <w:rPr>
                <w:rFonts w:hint="eastAsia"/>
              </w:rPr>
              <w:t>。</w:t>
            </w:r>
          </w:p>
          <w:p>
            <w:pPr>
              <w:pStyle w:val="81"/>
              <w:ind w:firstLine="480"/>
            </w:pPr>
            <w:r>
              <w:rPr>
                <w:rFonts w:hint="eastAsia"/>
              </w:rPr>
              <w:t>企业已</w:t>
            </w:r>
            <w:r>
              <w:t>在</w:t>
            </w:r>
            <w:r>
              <w:rPr>
                <w:rFonts w:hint="eastAsia"/>
              </w:rPr>
              <w:t>厂区成品库西侧设置</w:t>
            </w:r>
            <w:r>
              <w:t>一座建筑面积为</w:t>
            </w:r>
            <w:r>
              <w:rPr>
                <w:rFonts w:hint="eastAsia"/>
              </w:rPr>
              <w:t>20</w:t>
            </w:r>
            <w:r>
              <w:t>m</w:t>
            </w:r>
            <w:r>
              <w:rPr>
                <w:vertAlign w:val="superscript"/>
              </w:rPr>
              <w:t>2</w:t>
            </w:r>
            <w:r>
              <w:t>的</w:t>
            </w:r>
            <w:r>
              <w:rPr>
                <w:rFonts w:hint="eastAsia"/>
              </w:rPr>
              <w:t>危废暂存间</w:t>
            </w:r>
            <w:r>
              <w:t>，本项目所在区域不属于地震、泥石流等地质灾害频发带，也不存在洪水淹没的情况，因此危废仓库的选址合理。</w:t>
            </w:r>
            <w:r>
              <w:rPr>
                <w:rFonts w:hint="eastAsia"/>
              </w:rPr>
              <w:t>现有工程及本项目</w:t>
            </w:r>
            <w:r>
              <w:t>危废产生量</w:t>
            </w:r>
            <w:r>
              <w:rPr>
                <w:rFonts w:hint="eastAsia"/>
              </w:rPr>
              <w:t>合计</w:t>
            </w:r>
            <w:r>
              <w:t>为3</w:t>
            </w:r>
            <w:r>
              <w:rPr>
                <w:rFonts w:hint="eastAsia"/>
              </w:rPr>
              <w:t>.1</w:t>
            </w:r>
            <w:r>
              <w:t>t/a， 转运周期</w:t>
            </w:r>
            <w:r>
              <w:rPr>
                <w:rFonts w:hint="eastAsia"/>
              </w:rPr>
              <w:t>最长</w:t>
            </w:r>
            <w:r>
              <w:t>为3个月，则危废仓库内危废量最多为</w:t>
            </w:r>
            <w:r>
              <w:rPr>
                <w:rFonts w:hint="eastAsia"/>
              </w:rPr>
              <w:t>0.</w:t>
            </w:r>
            <w:r>
              <w:t>8t，废</w:t>
            </w:r>
            <w:r>
              <w:rPr>
                <w:rFonts w:hint="eastAsia"/>
              </w:rPr>
              <w:t>机</w:t>
            </w:r>
            <w:r>
              <w:t>油采用具有防腐、防渗功能的专用塑胶桶密封盛装，废</w:t>
            </w:r>
            <w:r>
              <w:rPr>
                <w:rFonts w:hint="eastAsia"/>
              </w:rPr>
              <w:t>机</w:t>
            </w:r>
            <w:r>
              <w:t>油包装桶直接存储于</w:t>
            </w:r>
            <w:r>
              <w:rPr>
                <w:rFonts w:hint="eastAsia"/>
              </w:rPr>
              <w:t>危废暂存间</w:t>
            </w:r>
            <w:r>
              <w:t>，</w:t>
            </w:r>
            <w:r>
              <w:rPr>
                <w:rFonts w:hint="eastAsia"/>
              </w:rPr>
              <w:t>现有工程20</w:t>
            </w:r>
            <w:r>
              <w:t>m</w:t>
            </w:r>
            <w:r>
              <w:rPr>
                <w:vertAlign w:val="superscript"/>
              </w:rPr>
              <w:t>2</w:t>
            </w:r>
            <w:r>
              <w:rPr>
                <w:rFonts w:hint="eastAsia"/>
              </w:rPr>
              <w:t>危废暂存间</w:t>
            </w:r>
            <w:r>
              <w:t>能够满足贮存需求</w:t>
            </w:r>
            <w:r>
              <w:rPr>
                <w:rFonts w:hint="eastAsia"/>
              </w:rPr>
              <w:t>。</w:t>
            </w:r>
          </w:p>
          <w:p>
            <w:pPr>
              <w:pStyle w:val="81"/>
              <w:ind w:firstLine="480"/>
              <w:rPr>
                <w:kern w:val="0"/>
              </w:rPr>
            </w:pPr>
            <w:r>
              <w:t>综上所述，本项目产生的固废不会对环境产生不利影响。</w:t>
            </w:r>
          </w:p>
          <w:p>
            <w:pPr>
              <w:pStyle w:val="92"/>
              <w:spacing w:before="120"/>
              <w:rPr>
                <w:rFonts w:hint="default"/>
                <w:color w:val="auto"/>
              </w:rPr>
            </w:pPr>
            <w:r>
              <w:rPr>
                <w:rFonts w:hint="default"/>
                <w:color w:val="auto"/>
              </w:rPr>
              <w:t>地下水、土壤</w:t>
            </w:r>
          </w:p>
          <w:p>
            <w:pPr>
              <w:pStyle w:val="92"/>
              <w:numPr>
                <w:ilvl w:val="0"/>
                <w:numId w:val="0"/>
              </w:numPr>
              <w:spacing w:before="120"/>
              <w:rPr>
                <w:rFonts w:hint="default"/>
                <w:color w:val="auto"/>
              </w:rPr>
            </w:pPr>
            <w:r>
              <w:rPr>
                <w:color w:val="auto"/>
              </w:rPr>
              <w:t>5</w:t>
            </w:r>
            <w:r>
              <w:rPr>
                <w:rFonts w:hint="default"/>
                <w:color w:val="auto"/>
              </w:rPr>
              <w:t>.1</w:t>
            </w:r>
            <w:r>
              <w:rPr>
                <w:bCs w:val="0"/>
              </w:rPr>
              <w:t>地下水影响及环境保护措施</w:t>
            </w:r>
          </w:p>
          <w:p>
            <w:pPr>
              <w:pStyle w:val="81"/>
              <w:ind w:firstLine="480"/>
            </w:pPr>
            <w:r>
              <w:t>从本项目涉及的物料和生产工艺过程来看，在正常情况下，不会对地下水环境和土壤环境产生影响，可能对地下水和土壤的污染途径主要包括为危险废物</w:t>
            </w:r>
            <w:r>
              <w:rPr>
                <w:rFonts w:hint="eastAsia"/>
              </w:rPr>
              <w:t>泄漏</w:t>
            </w:r>
            <w:r>
              <w:t>将会对地下水和土壤造成影响。为防止污染地下水和土壤，本项目将严格按照</w:t>
            </w:r>
            <w:r>
              <w:rPr>
                <w:rFonts w:hint="eastAsia"/>
              </w:rPr>
              <w:t>“</w:t>
            </w:r>
            <w:r>
              <w:t>源头控制、分区防控、污染监控、应急响应</w:t>
            </w:r>
            <w:r>
              <w:rPr>
                <w:rFonts w:hint="eastAsia"/>
              </w:rPr>
              <w:t>”</w:t>
            </w:r>
            <w:r>
              <w:t>的原则采取相应环境保护措施及管理措施。具体措施如下</w:t>
            </w:r>
            <w:r>
              <w:rPr>
                <w:rFonts w:hint="eastAsia"/>
              </w:rPr>
              <w:t>。</w:t>
            </w:r>
          </w:p>
          <w:p>
            <w:pPr>
              <w:pStyle w:val="81"/>
              <w:ind w:firstLine="480"/>
            </w:pPr>
            <w:r>
              <w:rPr>
                <w:rFonts w:hint="eastAsia"/>
              </w:rPr>
              <w:t>（1）</w:t>
            </w:r>
            <w:r>
              <w:t>源头控制措施</w:t>
            </w:r>
          </w:p>
          <w:p>
            <w:pPr>
              <w:pStyle w:val="81"/>
              <w:ind w:firstLine="480"/>
            </w:pPr>
            <w:r>
              <w:rPr>
                <w:rFonts w:hint="eastAsia"/>
              </w:rPr>
              <w:t>①</w:t>
            </w:r>
            <w:r>
              <w:t>对</w:t>
            </w:r>
            <w:r>
              <w:rPr>
                <w:rFonts w:hint="eastAsia"/>
              </w:rPr>
              <w:t>危废暂存间</w:t>
            </w:r>
            <w:r>
              <w:t>采取防渗漏措施，避免或减少危险废物的跑、冒、滴、漏，将危险废物泄露的环境风险事故降至最低。</w:t>
            </w:r>
          </w:p>
          <w:p>
            <w:pPr>
              <w:pStyle w:val="81"/>
              <w:ind w:firstLine="480"/>
            </w:pPr>
            <w:r>
              <w:rPr>
                <w:rFonts w:hint="eastAsia"/>
              </w:rPr>
              <w:t>②</w:t>
            </w:r>
            <w:r>
              <w:t>建立有关规章制度和岗位责任制度，制定风险预警方案，设立应急设施减轻环境污染影响。</w:t>
            </w:r>
          </w:p>
          <w:p>
            <w:pPr>
              <w:pStyle w:val="81"/>
              <w:ind w:firstLine="480"/>
            </w:pPr>
            <w:r>
              <w:rPr>
                <w:rFonts w:hint="eastAsia"/>
              </w:rPr>
              <w:t>（</w:t>
            </w:r>
            <w:r>
              <w:t>2</w:t>
            </w:r>
            <w:r>
              <w:rPr>
                <w:rFonts w:hint="eastAsia"/>
              </w:rPr>
              <w:t>）</w:t>
            </w:r>
            <w:r>
              <w:t>分区防渗措施</w:t>
            </w:r>
          </w:p>
          <w:p>
            <w:pPr>
              <w:pStyle w:val="81"/>
              <w:ind w:firstLine="480"/>
              <w:rPr>
                <w:bCs/>
              </w:rPr>
            </w:pPr>
            <w:r>
              <w:t>根据《环境风险评价技术导则 地下水环境》（HJ610-2016），对本项目各区域进行分区防渗，本项目</w:t>
            </w:r>
            <w:r>
              <w:rPr>
                <w:rFonts w:hint="eastAsia"/>
              </w:rPr>
              <w:t>危废</w:t>
            </w:r>
            <w:r>
              <w:t>利用现有工程</w:t>
            </w:r>
            <w:r>
              <w:rPr>
                <w:rFonts w:hint="eastAsia"/>
              </w:rPr>
              <w:t>危废暂存间贮存</w:t>
            </w:r>
            <w:r>
              <w:t>，根据</w:t>
            </w:r>
            <w:r>
              <w:rPr>
                <w:rFonts w:hint="eastAsia"/>
              </w:rPr>
              <w:t>现有工程竣工环境保护验收监测报告表</w:t>
            </w:r>
            <w:r>
              <w:t>，</w:t>
            </w:r>
            <w:r>
              <w:rPr>
                <w:rFonts w:hint="eastAsia"/>
              </w:rPr>
              <w:t>危废暂存间</w:t>
            </w:r>
            <w:r>
              <w:t>为重点防渗区，对</w:t>
            </w:r>
            <w:r>
              <w:rPr>
                <w:rFonts w:hint="eastAsia"/>
              </w:rPr>
              <w:t>防渗层</w:t>
            </w:r>
            <w:r>
              <w:t>采用2mm厚高密度聚乙烯膜+20mm厚水泥砂浆+防水防腐涂料，渗透系数≤10</w:t>
            </w:r>
            <w:r>
              <w:rPr>
                <w:vertAlign w:val="superscript"/>
              </w:rPr>
              <w:t>-10</w:t>
            </w:r>
            <w:r>
              <w:t>cm/s。</w:t>
            </w:r>
            <w:bookmarkStart w:id="307" w:name="OLE_LINK152"/>
            <w:bookmarkStart w:id="308" w:name="OLE_LINK312"/>
            <w:bookmarkStart w:id="309" w:name="OLE_LINK151"/>
            <w:r>
              <w:rPr>
                <w:rFonts w:hint="eastAsia"/>
              </w:rPr>
              <w:t>现有工程成品库及成品存放区，</w:t>
            </w:r>
            <w:r>
              <w:rPr>
                <w:bCs/>
              </w:rPr>
              <w:t>采用抗渗混凝土+防水砂浆，渗透系数≤1×10</w:t>
            </w:r>
            <w:r>
              <w:rPr>
                <w:bCs/>
                <w:vertAlign w:val="superscript"/>
              </w:rPr>
              <w:t>-7</w:t>
            </w:r>
            <w:r>
              <w:rPr>
                <w:bCs/>
              </w:rPr>
              <w:t>cm/s。</w:t>
            </w:r>
            <w:r>
              <w:rPr>
                <w:rFonts w:hint="eastAsia"/>
              </w:rPr>
              <w:t>新建废水循环水池为一般防渗区，</w:t>
            </w:r>
            <w:r>
              <w:rPr>
                <w:szCs w:val="21"/>
              </w:rPr>
              <w:t>要求：等效黏土防渗层Mb≥1.5m，K≤1×10</w:t>
            </w:r>
            <w:r>
              <w:rPr>
                <w:szCs w:val="21"/>
                <w:vertAlign w:val="superscript"/>
              </w:rPr>
              <w:t>-7</w:t>
            </w:r>
            <w:r>
              <w:rPr>
                <w:szCs w:val="21"/>
              </w:rPr>
              <w:t>cm/s。</w:t>
            </w:r>
          </w:p>
          <w:bookmarkEnd w:id="307"/>
          <w:bookmarkEnd w:id="308"/>
          <w:bookmarkEnd w:id="309"/>
          <w:p>
            <w:pPr>
              <w:pStyle w:val="100"/>
              <w:numPr>
                <w:ilvl w:val="0"/>
                <w:numId w:val="0"/>
              </w:numPr>
              <w:tabs>
                <w:tab w:val="clear" w:pos="-29"/>
              </w:tabs>
              <w:rPr>
                <w:b/>
                <w:bCs/>
              </w:rPr>
            </w:pPr>
            <w:r>
              <w:rPr>
                <w:rFonts w:hint="eastAsia"/>
                <w:b/>
                <w:bCs/>
              </w:rPr>
              <w:t>5.2 土壤影响及环境保护措施</w:t>
            </w:r>
          </w:p>
          <w:p>
            <w:pPr>
              <w:pStyle w:val="82"/>
              <w:rPr>
                <w:rFonts w:hint="default"/>
              </w:rPr>
            </w:pPr>
            <w:r>
              <w:t>本项目运营期对土壤环境影响比较重要的是危废贮存不当造成渗漏对土壤造成的影响。本项目对土壤的保护措施及对策主要为：</w:t>
            </w:r>
          </w:p>
          <w:p>
            <w:pPr>
              <w:pStyle w:val="82"/>
              <w:rPr>
                <w:rFonts w:hint="default"/>
              </w:rPr>
            </w:pPr>
            <w:r>
              <w:t>1)源头控制措施</w:t>
            </w:r>
          </w:p>
          <w:p>
            <w:pPr>
              <w:pStyle w:val="82"/>
              <w:rPr>
                <w:rFonts w:hint="default"/>
              </w:rPr>
            </w:pPr>
            <w:r>
              <w:t>企业在现有工程建设时对一般防渗区、重点防渗区按照相关要求做好防渗工作，避免垂直入渗等事故发生。</w:t>
            </w:r>
          </w:p>
          <w:p>
            <w:pPr>
              <w:pStyle w:val="82"/>
              <w:rPr>
                <w:rFonts w:hint="default"/>
              </w:rPr>
            </w:pPr>
            <w:r>
              <w:t>2)过程防控措施</w:t>
            </w:r>
          </w:p>
          <w:p>
            <w:pPr>
              <w:pStyle w:val="82"/>
              <w:rPr>
                <w:rFonts w:hint="default"/>
              </w:rPr>
            </w:pPr>
            <w:r>
              <w:t>根据行业特点与占地范围内的土壤特性，按照相关技术要求采取过程阻断污染物削减和分区防控措施。</w:t>
            </w:r>
          </w:p>
          <w:p>
            <w:pPr>
              <w:pStyle w:val="82"/>
              <w:rPr>
                <w:rFonts w:hint="default"/>
              </w:rPr>
            </w:pPr>
            <w:r>
              <w:t>3)重点防渗区域应做好防渗层的检查维修工作，及时对破损的</w:t>
            </w:r>
            <w:r>
              <w:rPr>
                <w:color w:val="FF0000"/>
              </w:rPr>
              <w:t>防渗</w:t>
            </w:r>
            <w:r>
              <w:t>层进行修补。</w:t>
            </w:r>
          </w:p>
          <w:p>
            <w:pPr>
              <w:pStyle w:val="82"/>
              <w:rPr>
                <w:rFonts w:hint="default"/>
              </w:rPr>
            </w:pPr>
            <w:r>
              <w:t>综上所述，本项目在采取地面硬化防渗及相应管理措施的情况下，对地下水和土壤的影响在可接受范围内。</w:t>
            </w:r>
          </w:p>
          <w:p>
            <w:pPr>
              <w:adjustRightInd w:val="0"/>
              <w:snapToGrid w:val="0"/>
              <w:spacing w:line="360" w:lineRule="auto"/>
              <w:rPr>
                <w:rFonts w:ascii="宋体" w:hAnsi="宋体" w:eastAsia="宋体"/>
                <w:b/>
                <w:bCs/>
                <w:kern w:val="0"/>
                <w:sz w:val="24"/>
              </w:rPr>
            </w:pPr>
            <w:r>
              <w:rPr>
                <w:rFonts w:ascii="宋体" w:hAnsi="宋体" w:eastAsia="宋体"/>
                <w:b/>
                <w:bCs/>
                <w:kern w:val="0"/>
                <w:sz w:val="24"/>
                <w:highlight w:val="yellow"/>
              </w:rPr>
              <w:t>6.</w:t>
            </w:r>
            <w:r>
              <w:rPr>
                <w:rFonts w:hint="eastAsia" w:ascii="宋体" w:hAnsi="宋体" w:eastAsia="宋体"/>
                <w:b/>
                <w:bCs/>
                <w:kern w:val="0"/>
                <w:sz w:val="24"/>
                <w:highlight w:val="yellow"/>
              </w:rPr>
              <w:t>现有工程依托可行性分析</w:t>
            </w:r>
          </w:p>
          <w:p>
            <w:pPr>
              <w:pStyle w:val="81"/>
              <w:ind w:firstLine="480"/>
            </w:pPr>
            <w:r>
              <w:rPr>
                <w:rFonts w:hint="eastAsia"/>
              </w:rPr>
              <w:t>①现有工程成品库</w:t>
            </w:r>
          </w:p>
          <w:p>
            <w:pPr>
              <w:pStyle w:val="81"/>
              <w:ind w:firstLine="480"/>
              <w:rPr>
                <w:szCs w:val="21"/>
              </w:rPr>
            </w:pPr>
            <w:r>
              <w:rPr>
                <w:rFonts w:hint="eastAsia"/>
              </w:rPr>
              <w:t>本公司现有工程成品库是</w:t>
            </w:r>
            <w:r>
              <w:rPr>
                <w:rFonts w:hint="eastAsia"/>
                <w:szCs w:val="21"/>
              </w:rPr>
              <w:t>全封闭结构，用于贮存</w:t>
            </w:r>
            <w:r>
              <w:rPr>
                <w:rFonts w:hint="eastAsia"/>
              </w:rPr>
              <w:t>内蒙古晟能能源有限责任公司年处理60万吨工业固废综合利用项目</w:t>
            </w:r>
            <w:bookmarkStart w:id="310" w:name="OLE_LINK133"/>
            <w:bookmarkStart w:id="311" w:name="OLE_LINK132"/>
            <w:r>
              <w:rPr>
                <w:rFonts w:hint="eastAsia"/>
                <w:szCs w:val="21"/>
              </w:rPr>
              <w:t>脱碳工序</w:t>
            </w:r>
            <w:bookmarkEnd w:id="310"/>
            <w:bookmarkEnd w:id="311"/>
            <w:r>
              <w:rPr>
                <w:rFonts w:hint="eastAsia"/>
                <w:szCs w:val="21"/>
              </w:rPr>
              <w:t>的多孔硅、多孔炭、细砂，固废细泥，各物料分区堆放贮存，设挡墙分隔。因此</w:t>
            </w:r>
            <w:r>
              <w:rPr>
                <w:rFonts w:hint="eastAsia"/>
              </w:rPr>
              <w:t>现有工程成品库贮存的细砂与固废细泥既是</w:t>
            </w:r>
            <w:r>
              <w:rPr>
                <w:rFonts w:hint="eastAsia"/>
                <w:szCs w:val="21"/>
              </w:rPr>
              <w:t>脱碳工序的成品库，亦是本次技改的原料库，因此依托可行。</w:t>
            </w:r>
          </w:p>
          <w:p>
            <w:pPr>
              <w:pStyle w:val="81"/>
              <w:ind w:firstLine="480"/>
            </w:pPr>
            <w:r>
              <w:rPr>
                <w:rFonts w:hint="eastAsia"/>
                <w:szCs w:val="21"/>
              </w:rPr>
              <w:t>②</w:t>
            </w:r>
            <w:r>
              <w:rPr>
                <w:rFonts w:hint="eastAsia"/>
              </w:rPr>
              <w:t>成品存放区</w:t>
            </w:r>
          </w:p>
          <w:p>
            <w:pPr>
              <w:pStyle w:val="81"/>
              <w:ind w:firstLine="480"/>
              <w:rPr>
                <w:color w:val="000000" w:themeColor="text1"/>
                <w14:textFill>
                  <w14:solidFill>
                    <w14:schemeClr w14:val="tx1"/>
                  </w14:solidFill>
                </w14:textFill>
              </w:rPr>
            </w:pPr>
            <w:bookmarkStart w:id="312" w:name="OLE_LINK224"/>
            <w:bookmarkStart w:id="313" w:name="OLE_LINK223"/>
            <w:bookmarkStart w:id="314" w:name="OLE_LINK137"/>
            <w:bookmarkStart w:id="315" w:name="OLE_LINK140"/>
            <w:bookmarkStart w:id="316" w:name="OLE_LINK227"/>
            <w:bookmarkStart w:id="317" w:name="OLE_LINK210"/>
            <w:r>
              <w:rPr>
                <w:color w:val="000000" w:themeColor="text1"/>
                <w14:textFill>
                  <w14:solidFill>
                    <w14:schemeClr w14:val="tx1"/>
                  </w14:solidFill>
                </w14:textFill>
              </w:rPr>
              <w:t>烘干工序的成品存放区占地面积为2020</w:t>
            </w:r>
            <w:bookmarkStart w:id="318" w:name="OLE_LINK220"/>
            <w:bookmarkStart w:id="319" w:name="OLE_LINK221"/>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2</w:t>
            </w:r>
            <w:bookmarkEnd w:id="318"/>
            <w:bookmarkEnd w:id="319"/>
            <w:r>
              <w:rPr>
                <w:color w:val="000000" w:themeColor="text1"/>
                <w14:textFill>
                  <w14:solidFill>
                    <w14:schemeClr w14:val="tx1"/>
                  </w14:solidFill>
                </w14:textFill>
              </w:rPr>
              <w:t>，高8.65m。其中新增1套</w:t>
            </w:r>
            <w:bookmarkStart w:id="320" w:name="OLE_LINK222"/>
            <w:r>
              <w:rPr>
                <w:color w:val="000000" w:themeColor="text1"/>
                <w14:textFill>
                  <w14:solidFill>
                    <w14:schemeClr w14:val="tx1"/>
                  </w14:solidFill>
                </w14:textFill>
              </w:rPr>
              <w:t>金属梯级回收</w:t>
            </w:r>
            <w:bookmarkEnd w:id="320"/>
            <w:r>
              <w:rPr>
                <w:color w:val="000000" w:themeColor="text1"/>
                <w14:textFill>
                  <w14:solidFill>
                    <w14:schemeClr w14:val="tx1"/>
                  </w14:solidFill>
                </w14:textFill>
              </w:rPr>
              <w:t>设备，占地面积为800m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，则剩余存储面积为1220m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，用于暂存烘干工序产生的产品</w:t>
            </w:r>
            <w:bookmarkStart w:id="321" w:name="OLE_LINK191"/>
            <w:bookmarkStart w:id="322" w:name="OLE_LINK192"/>
            <w:r>
              <w:rPr>
                <w:color w:val="000000" w:themeColor="text1"/>
                <w:szCs w:val="21"/>
                <w14:textFill>
                  <w14:solidFill>
                    <w14:schemeClr w14:val="tx1"/>
                  </w14:solidFill>
                </w14:textFill>
              </w:rPr>
              <w:t>低灰分多孔炭（含水率20%）和高灰分多孔炭（煤泥）</w:t>
            </w:r>
            <w:bookmarkEnd w:id="321"/>
            <w:bookmarkEnd w:id="322"/>
            <w:r>
              <w:rPr>
                <w:color w:val="000000" w:themeColor="text1"/>
                <w:szCs w:val="21"/>
                <w14:textFill>
                  <w14:solidFill>
                    <w14:schemeClr w14:val="tx1"/>
                  </w14:solidFill>
                </w14:textFill>
              </w:rPr>
              <w:t>（含水率20%），低灰分多孔炭（含水率20%）和高灰分多孔炭（煤泥）年产量为152416t，平均堆高为4m，堆密度为1.5t/m³。现将</w:t>
            </w:r>
            <w:r>
              <w:rPr>
                <w:color w:val="000000" w:themeColor="text1"/>
                <w14:textFill>
                  <w14:solidFill>
                    <w14:schemeClr w14:val="tx1"/>
                  </w14:solidFill>
                </w14:textFill>
              </w:rPr>
              <w:t>金属梯级回收产生的产品铁精粉（14814t/a）、高纯度钙、镁产品（16460t/a）、含硅战略金属富集矿（18106t/a）、土壤修复剂）（115220t/a）暂存至此成品存放区，平均堆高为3m，</w:t>
            </w:r>
            <w:r>
              <w:rPr>
                <w:color w:val="000000" w:themeColor="text1"/>
                <w:shd w:val="clear" w:color="auto" w:fill="FFFFFF"/>
                <w14:textFill>
                  <w14:solidFill>
                    <w14:schemeClr w14:val="tx1"/>
                  </w14:solidFill>
                </w14:textFill>
              </w:rPr>
              <w:t>堆密度为2t/m³</w:t>
            </w:r>
            <w:r>
              <w:rPr>
                <w:color w:val="000000" w:themeColor="text1"/>
                <w14:textFill>
                  <w14:solidFill>
                    <w14:schemeClr w14:val="tx1"/>
                  </w14:solidFill>
                </w14:textFill>
              </w:rPr>
              <w:t>。假设两种工序的暂存面积各为610</w:t>
            </w:r>
            <w:bookmarkStart w:id="323" w:name="OLE_LINK231"/>
            <w:bookmarkStart w:id="324" w:name="OLE_LINK230"/>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2</w:t>
            </w:r>
            <w:bookmarkEnd w:id="312"/>
            <w:bookmarkEnd w:id="313"/>
            <w:bookmarkEnd w:id="323"/>
            <w:bookmarkEnd w:id="324"/>
            <w:r>
              <w:rPr>
                <w:color w:val="000000" w:themeColor="text1"/>
                <w14:textFill>
                  <w14:solidFill>
                    <w14:schemeClr w14:val="tx1"/>
                  </w14:solidFill>
                </w14:textFill>
              </w:rPr>
              <w:t>，转存周期为8天，则烘干工序产生的产品所需存储面积为556.8m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，金属梯级回收产生的产品所需存储面积</w:t>
            </w:r>
            <w:r>
              <w:rPr>
                <w:rFonts w:hint="eastAsia"/>
                <w:color w:val="FF0000"/>
              </w:rPr>
              <w:t>6</w:t>
            </w:r>
            <w:r>
              <w:rPr>
                <w:color w:val="FF0000"/>
              </w:rPr>
              <w:t>01.25m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，因此依托可行。</w:t>
            </w:r>
          </w:p>
          <w:bookmarkEnd w:id="314"/>
          <w:bookmarkEnd w:id="315"/>
          <w:bookmarkEnd w:id="316"/>
          <w:bookmarkEnd w:id="317"/>
          <w:p>
            <w:pPr>
              <w:adjustRightInd w:val="0"/>
              <w:snapToGrid w:val="0"/>
              <w:spacing w:line="360" w:lineRule="auto"/>
              <w:rPr>
                <w:rFonts w:ascii="宋体" w:hAnsi="宋体" w:eastAsia="宋体"/>
                <w:b/>
                <w:bCs/>
                <w:kern w:val="0"/>
                <w:sz w:val="24"/>
              </w:rPr>
            </w:pPr>
            <w:bookmarkStart w:id="325" w:name="_Hlk151460054"/>
            <w:r>
              <w:rPr>
                <w:rFonts w:ascii="宋体" w:hAnsi="宋体" w:eastAsia="宋体"/>
                <w:b/>
                <w:bCs/>
                <w:kern w:val="0"/>
                <w:sz w:val="24"/>
              </w:rPr>
              <w:t>7</w:t>
            </w:r>
            <w:r>
              <w:rPr>
                <w:rFonts w:hint="eastAsia" w:ascii="宋体" w:hAnsi="宋体" w:eastAsia="宋体"/>
                <w:b/>
                <w:bCs/>
                <w:kern w:val="0"/>
                <w:sz w:val="24"/>
              </w:rPr>
              <w:t>.环境风险</w:t>
            </w:r>
          </w:p>
          <w:bookmarkEnd w:id="325"/>
          <w:p>
            <w:pPr>
              <w:pStyle w:val="81"/>
              <w:ind w:firstLine="480"/>
            </w:pPr>
            <w:r>
              <w:t>根据《建设项目环境风险评价技术导则》（HJ169-2018），确定本项目突发环境事件风险物质为废</w:t>
            </w:r>
            <w:r>
              <w:rPr>
                <w:rFonts w:hint="eastAsia"/>
              </w:rPr>
              <w:t>机</w:t>
            </w:r>
            <w:r>
              <w:t>油，环境风险类型为泄漏</w:t>
            </w:r>
            <w:r>
              <w:rPr>
                <w:rFonts w:hint="eastAsia"/>
              </w:rPr>
              <w:t>及火灾产生的伴生次生污染物</w:t>
            </w:r>
            <w:r>
              <w:t>。</w:t>
            </w:r>
            <w:r>
              <w:rPr>
                <w:rFonts w:hint="eastAsia"/>
              </w:rPr>
              <w:t>本项目及现有工程</w:t>
            </w:r>
            <w:r>
              <w:t>废</w:t>
            </w:r>
            <w:r>
              <w:rPr>
                <w:rFonts w:hint="eastAsia"/>
              </w:rPr>
              <w:t>机</w:t>
            </w:r>
            <w:r>
              <w:t>油的最大存放量为3t，临界量为2500t，物质总量与其临界量比值Q=0.0012＜1，故本项目环境风险潜势为Ⅰ，即有毒有害和易燃易爆危险物质存储量未超过临界量，无需设置环境风险专项评价。</w:t>
            </w:r>
          </w:p>
          <w:p>
            <w:pPr>
              <w:pStyle w:val="81"/>
              <w:ind w:firstLine="480"/>
            </w:pPr>
            <w:r>
              <w:t>本项目存在的环境影响途径主要是在废</w:t>
            </w:r>
            <w:r>
              <w:rPr>
                <w:rFonts w:hint="eastAsia"/>
              </w:rPr>
              <w:t>机</w:t>
            </w:r>
            <w:r>
              <w:t>油在收集、转移过程出现意外泄漏环境事件。环境风险防范措施要求如下：</w:t>
            </w:r>
          </w:p>
          <w:p>
            <w:pPr>
              <w:pStyle w:val="81"/>
              <w:ind w:firstLine="480"/>
            </w:pPr>
            <w:r>
              <w:rPr>
                <w:rFonts w:hint="eastAsia" w:ascii="宋体" w:hAnsi="宋体" w:cs="宋体"/>
              </w:rPr>
              <w:t>①</w:t>
            </w:r>
            <w:r>
              <w:t>废机油用密封容器收集并设置在托盘内，确保托盘能够及时收集泄漏的废润滑油，防止其泄漏进入厂外环境。</w:t>
            </w:r>
          </w:p>
          <w:p>
            <w:pPr>
              <w:pStyle w:val="81"/>
              <w:ind w:firstLine="480"/>
            </w:pPr>
            <w:r>
              <w:rPr>
                <w:rFonts w:hint="eastAsia" w:ascii="宋体" w:hAnsi="宋体" w:cs="宋体"/>
              </w:rPr>
              <w:t>②</w:t>
            </w:r>
            <w:r>
              <w:rPr>
                <w:rFonts w:cs="宋体"/>
                <w:bCs/>
              </w:rPr>
              <w:t>根据现有工程竣工环境保护验收监测报告表，</w:t>
            </w:r>
            <w:r>
              <w:rPr>
                <w:rFonts w:hint="eastAsia" w:cs="宋体"/>
                <w:bCs/>
              </w:rPr>
              <w:t>危废暂存间</w:t>
            </w:r>
            <w:r>
              <w:rPr>
                <w:rFonts w:cs="宋体"/>
                <w:bCs/>
              </w:rPr>
              <w:t>为重点防渗区，对</w:t>
            </w:r>
            <w:r>
              <w:rPr>
                <w:rFonts w:hint="eastAsia" w:cs="宋体"/>
                <w:bCs/>
              </w:rPr>
              <w:t>防渗层</w:t>
            </w:r>
            <w:r>
              <w:rPr>
                <w:rFonts w:cs="宋体"/>
                <w:bCs/>
              </w:rPr>
              <w:t>采用2mm厚高密度聚乙烯膜+20mm厚水泥砂浆+防水防腐涂料，渗透系数≤10</w:t>
            </w:r>
            <w:r>
              <w:rPr>
                <w:rFonts w:cs="宋体"/>
                <w:bCs/>
                <w:vertAlign w:val="superscript"/>
              </w:rPr>
              <w:t>-10</w:t>
            </w:r>
            <w:r>
              <w:rPr>
                <w:rFonts w:cs="宋体"/>
                <w:bCs/>
              </w:rPr>
              <w:t>cm/s</w:t>
            </w:r>
            <w:r>
              <w:rPr>
                <w:rFonts w:hint="eastAsia" w:cs="宋体"/>
                <w:bCs/>
              </w:rPr>
              <w:t>，</w:t>
            </w:r>
            <w:r>
              <w:t>符合《危险废物贮存污染控制标准》（GB18597-2023）要求</w:t>
            </w:r>
          </w:p>
          <w:p>
            <w:pPr>
              <w:pStyle w:val="81"/>
              <w:ind w:firstLine="480"/>
            </w:pPr>
            <w:r>
              <w:rPr>
                <w:rFonts w:hint="eastAsia" w:ascii="宋体" w:hAnsi="宋体" w:cs="宋体"/>
              </w:rPr>
              <w:t>③</w:t>
            </w:r>
            <w:r>
              <w:t>必须组织专门人员每天每班多次进行周期性巡回检查，加强危废暂存间的安全运行管理，防患于未然。</w:t>
            </w:r>
          </w:p>
          <w:p>
            <w:pPr>
              <w:pStyle w:val="81"/>
              <w:ind w:firstLine="480"/>
            </w:pPr>
            <w:r>
              <w:rPr>
                <w:rFonts w:hint="eastAsia" w:ascii="宋体" w:hAnsi="宋体" w:cs="宋体"/>
              </w:rPr>
              <w:t>④</w:t>
            </w:r>
            <w:r>
              <w:t>危废间应挂有提醒人们注意的警示标志，并配置一定数量的灭火器。</w:t>
            </w:r>
          </w:p>
          <w:p>
            <w:pPr>
              <w:pStyle w:val="81"/>
              <w:ind w:firstLine="480"/>
            </w:pPr>
            <w:r>
              <w:rPr>
                <w:rFonts w:hint="eastAsia" w:ascii="宋体" w:hAnsi="宋体" w:cs="宋体"/>
              </w:rPr>
              <w:t>⑤</w:t>
            </w:r>
            <w:r>
              <w:t>建设单位委托处理单位时其须有相应的处理类别，转移时交由有资质单位运输。</w:t>
            </w:r>
          </w:p>
          <w:p>
            <w:pPr>
              <w:pStyle w:val="81"/>
              <w:ind w:firstLine="480"/>
            </w:pPr>
            <w:r>
              <w:t>综上，本项目运行过程中存在废</w:t>
            </w:r>
            <w:r>
              <w:rPr>
                <w:rFonts w:hint="eastAsia"/>
              </w:rPr>
              <w:t>机</w:t>
            </w:r>
            <w:r>
              <w:t>油泄漏的风险，必须严格按照有关规范标准的要求对危废暂存区进行监控和管理。在认真落实安全措施及评价所提出的风险防范措施后，本项目的事故风险可控，风险水平是可以接受的。</w:t>
            </w:r>
          </w:p>
          <w:p>
            <w:pPr>
              <w:pStyle w:val="81"/>
              <w:ind w:firstLine="0" w:firstLineChars="0"/>
              <w:rPr>
                <w:b/>
                <w:bCs/>
              </w:rPr>
            </w:pPr>
            <w:r>
              <w:rPr>
                <w:b/>
                <w:bCs/>
              </w:rPr>
              <w:t>8</w:t>
            </w:r>
            <w:r>
              <w:rPr>
                <w:rFonts w:hint="eastAsia"/>
                <w:b/>
                <w:bCs/>
              </w:rPr>
              <w:t>.生态环境影响分析和保护措施</w:t>
            </w:r>
          </w:p>
          <w:p>
            <w:pPr>
              <w:pStyle w:val="81"/>
              <w:ind w:firstLine="480"/>
            </w:pPr>
            <w:r>
              <w:rPr>
                <w:rFonts w:hint="eastAsia"/>
              </w:rPr>
              <w:t>项目位于内蒙古鄂尔多斯达拉特经济开发区达拉特产业园三垧梁工业片区，用地范围内及周边无生态环境保护目标，因此不对生态环境影响进行分析。</w:t>
            </w:r>
          </w:p>
          <w:p>
            <w:pPr>
              <w:pStyle w:val="81"/>
              <w:ind w:firstLine="0" w:firstLineChars="0"/>
              <w:rPr>
                <w:b/>
                <w:bCs/>
              </w:rPr>
            </w:pPr>
            <w:r>
              <w:rPr>
                <w:b/>
                <w:bCs/>
              </w:rPr>
              <w:t>9</w:t>
            </w:r>
            <w:r>
              <w:rPr>
                <w:rFonts w:hint="eastAsia"/>
                <w:b/>
                <w:bCs/>
              </w:rPr>
              <w:t>.环境监测计划</w:t>
            </w:r>
          </w:p>
          <w:p>
            <w:pPr>
              <w:pStyle w:val="81"/>
              <w:ind w:firstLine="480"/>
            </w:pPr>
            <w:r>
              <w:t>根据</w:t>
            </w:r>
            <w:r>
              <w:rPr>
                <w:rFonts w:hint="eastAsia"/>
              </w:rPr>
              <w:t>《排污单位自行监测技术指南 总则》（HJ819-2017）、《排污许可证申请与核发技术规范 总则》（HJ942-2018），结合现有工程，本项目运营后全厂污染源监测计划见表4-</w:t>
            </w:r>
            <w:r>
              <w:t>4</w:t>
            </w:r>
            <w:r>
              <w:rPr>
                <w:rFonts w:hint="eastAsia"/>
              </w:rPr>
              <w:t>。</w:t>
            </w:r>
          </w:p>
          <w:p>
            <w:pPr>
              <w:pStyle w:val="67"/>
              <w:rPr>
                <w:b/>
                <w:bCs/>
                <w:lang w:eastAsia="zh-CN"/>
              </w:rPr>
            </w:pPr>
            <w:r>
              <w:rPr>
                <w:b/>
                <w:bCs/>
                <w:lang w:eastAsia="zh-CN"/>
              </w:rPr>
              <w:t>表</w:t>
            </w:r>
            <w:r>
              <w:rPr>
                <w:rFonts w:hint="eastAsia"/>
                <w:b/>
                <w:bCs/>
                <w:lang w:eastAsia="zh-CN"/>
              </w:rPr>
              <w:t>4-</w:t>
            </w:r>
            <w:r>
              <w:rPr>
                <w:b/>
                <w:bCs/>
                <w:lang w:eastAsia="zh-CN"/>
              </w:rPr>
              <w:t>4</w:t>
            </w:r>
            <w:r>
              <w:rPr>
                <w:rFonts w:hint="eastAsia"/>
                <w:b/>
                <w:bCs/>
                <w:lang w:eastAsia="zh-CN"/>
              </w:rPr>
              <w:t xml:space="preserve"> 污染源监测</w:t>
            </w:r>
            <w:r>
              <w:rPr>
                <w:b/>
                <w:bCs/>
                <w:lang w:eastAsia="zh-CN"/>
              </w:rPr>
              <w:t>计划</w:t>
            </w:r>
          </w:p>
          <w:tbl>
            <w:tblPr>
              <w:tblStyle w:val="2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46"/>
              <w:gridCol w:w="693"/>
              <w:gridCol w:w="982"/>
              <w:gridCol w:w="1246"/>
              <w:gridCol w:w="742"/>
              <w:gridCol w:w="3539"/>
              <w:gridCol w:w="64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 w:type="pct"/>
                  <w:vAlign w:val="center"/>
                </w:tcPr>
                <w:p>
                  <w:pPr>
                    <w:pStyle w:val="67"/>
                    <w:rPr>
                      <w:b/>
                      <w:bCs/>
                      <w:lang w:eastAsia="zh-CN"/>
                    </w:rPr>
                  </w:pPr>
                  <w:r>
                    <w:rPr>
                      <w:b/>
                      <w:bCs/>
                      <w:lang w:eastAsia="zh-CN"/>
                    </w:rPr>
                    <w:t>项目</w:t>
                  </w:r>
                </w:p>
              </w:tc>
              <w:tc>
                <w:tcPr>
                  <w:tcW w:w="418" w:type="pct"/>
                  <w:vAlign w:val="center"/>
                </w:tcPr>
                <w:p>
                  <w:pPr>
                    <w:pStyle w:val="67"/>
                    <w:rPr>
                      <w:b/>
                      <w:bCs/>
                      <w:lang w:eastAsia="zh-CN"/>
                    </w:rPr>
                  </w:pPr>
                  <w:r>
                    <w:rPr>
                      <w:rFonts w:hint="eastAsia"/>
                      <w:b/>
                      <w:bCs/>
                      <w:lang w:eastAsia="zh-CN"/>
                    </w:rPr>
                    <w:t>排放方式</w:t>
                  </w:r>
                </w:p>
              </w:tc>
              <w:tc>
                <w:tcPr>
                  <w:tcW w:w="592" w:type="pct"/>
                  <w:vAlign w:val="center"/>
                </w:tcPr>
                <w:p>
                  <w:pPr>
                    <w:pStyle w:val="67"/>
                    <w:rPr>
                      <w:b/>
                      <w:bCs/>
                      <w:lang w:eastAsia="zh-CN"/>
                    </w:rPr>
                  </w:pPr>
                  <w:r>
                    <w:rPr>
                      <w:b/>
                      <w:bCs/>
                      <w:lang w:eastAsia="zh-CN"/>
                    </w:rPr>
                    <w:t>监测点位</w:t>
                  </w:r>
                </w:p>
              </w:tc>
              <w:tc>
                <w:tcPr>
                  <w:tcW w:w="751" w:type="pct"/>
                  <w:vAlign w:val="center"/>
                </w:tcPr>
                <w:p>
                  <w:pPr>
                    <w:pStyle w:val="67"/>
                    <w:rPr>
                      <w:b/>
                      <w:bCs/>
                      <w:lang w:eastAsia="zh-CN"/>
                    </w:rPr>
                  </w:pPr>
                  <w:r>
                    <w:rPr>
                      <w:b/>
                      <w:bCs/>
                      <w:lang w:eastAsia="zh-CN"/>
                    </w:rPr>
                    <w:t>监测项目</w:t>
                  </w:r>
                </w:p>
              </w:tc>
              <w:tc>
                <w:tcPr>
                  <w:tcW w:w="447" w:type="pct"/>
                  <w:vAlign w:val="center"/>
                </w:tcPr>
                <w:p>
                  <w:pPr>
                    <w:pStyle w:val="67"/>
                    <w:rPr>
                      <w:b/>
                      <w:bCs/>
                      <w:lang w:eastAsia="zh-CN"/>
                    </w:rPr>
                  </w:pPr>
                  <w:r>
                    <w:rPr>
                      <w:b/>
                      <w:bCs/>
                      <w:lang w:eastAsia="zh-CN"/>
                    </w:rPr>
                    <w:t>监测周期</w:t>
                  </w:r>
                </w:p>
              </w:tc>
              <w:tc>
                <w:tcPr>
                  <w:tcW w:w="2133" w:type="pct"/>
                  <w:vAlign w:val="center"/>
                </w:tcPr>
                <w:p>
                  <w:pPr>
                    <w:pStyle w:val="67"/>
                    <w:rPr>
                      <w:b/>
                      <w:bCs/>
                      <w:lang w:eastAsia="zh-CN"/>
                    </w:rPr>
                  </w:pPr>
                  <w:r>
                    <w:rPr>
                      <w:rFonts w:hint="eastAsia"/>
                      <w:b/>
                      <w:bCs/>
                      <w:lang w:eastAsia="zh-CN"/>
                    </w:rPr>
                    <w:t>执行标准</w:t>
                  </w:r>
                </w:p>
              </w:tc>
              <w:tc>
                <w:tcPr>
                  <w:tcW w:w="391" w:type="pct"/>
                  <w:vAlign w:val="center"/>
                </w:tcPr>
                <w:p>
                  <w:pPr>
                    <w:pStyle w:val="67"/>
                    <w:rPr>
                      <w:b/>
                      <w:bCs/>
                      <w:lang w:eastAsia="zh-CN"/>
                    </w:rPr>
                  </w:pPr>
                  <w:r>
                    <w:rPr>
                      <w:rFonts w:hint="eastAsia"/>
                      <w:b/>
                      <w:bCs/>
                      <w:lang w:eastAsia="zh-CN"/>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 w:type="pct"/>
                  <w:vMerge w:val="restart"/>
                  <w:vAlign w:val="center"/>
                </w:tcPr>
                <w:p>
                  <w:pPr>
                    <w:pStyle w:val="67"/>
                    <w:rPr>
                      <w:lang w:eastAsia="zh-CN"/>
                    </w:rPr>
                  </w:pPr>
                  <w:r>
                    <w:rPr>
                      <w:lang w:eastAsia="zh-CN"/>
                    </w:rPr>
                    <w:t>废气</w:t>
                  </w:r>
                </w:p>
              </w:tc>
              <w:tc>
                <w:tcPr>
                  <w:tcW w:w="418" w:type="pct"/>
                  <w:vAlign w:val="center"/>
                </w:tcPr>
                <w:p>
                  <w:pPr>
                    <w:pStyle w:val="67"/>
                    <w:rPr>
                      <w:lang w:eastAsia="zh-CN"/>
                    </w:rPr>
                  </w:pPr>
                  <w:r>
                    <w:rPr>
                      <w:rFonts w:hint="eastAsia"/>
                      <w:lang w:eastAsia="zh-CN"/>
                    </w:rPr>
                    <w:t>有组织排放</w:t>
                  </w:r>
                </w:p>
              </w:tc>
              <w:tc>
                <w:tcPr>
                  <w:tcW w:w="592" w:type="pct"/>
                  <w:vAlign w:val="center"/>
                </w:tcPr>
                <w:p>
                  <w:pPr>
                    <w:pStyle w:val="67"/>
                    <w:rPr>
                      <w:lang w:eastAsia="zh-CN"/>
                    </w:rPr>
                  </w:pPr>
                  <w:r>
                    <w:rPr>
                      <w:rFonts w:hint="eastAsia"/>
                      <w:lang w:eastAsia="zh-CN"/>
                    </w:rPr>
                    <w:t>DA001排气筒口</w:t>
                  </w:r>
                </w:p>
              </w:tc>
              <w:tc>
                <w:tcPr>
                  <w:tcW w:w="751" w:type="pct"/>
                  <w:vAlign w:val="center"/>
                </w:tcPr>
                <w:p>
                  <w:pPr>
                    <w:pStyle w:val="67"/>
                    <w:rPr>
                      <w:lang w:eastAsia="zh-CN"/>
                    </w:rPr>
                  </w:pPr>
                  <w:r>
                    <w:rPr>
                      <w:lang w:eastAsia="zh-CN"/>
                    </w:rPr>
                    <w:t>颗粒物</w:t>
                  </w:r>
                  <w:r>
                    <w:rPr>
                      <w:rFonts w:hint="eastAsia"/>
                      <w:lang w:eastAsia="zh-CN"/>
                    </w:rPr>
                    <w:t>、二氧化硫、氮氧化物、烟气黑度</w:t>
                  </w:r>
                </w:p>
              </w:tc>
              <w:tc>
                <w:tcPr>
                  <w:tcW w:w="447" w:type="pct"/>
                  <w:vAlign w:val="center"/>
                </w:tcPr>
                <w:p>
                  <w:pPr>
                    <w:pStyle w:val="67"/>
                  </w:pPr>
                  <w:r>
                    <w:rPr>
                      <w:rFonts w:hint="eastAsia"/>
                    </w:rPr>
                    <w:t>1次/年</w:t>
                  </w:r>
                </w:p>
              </w:tc>
              <w:tc>
                <w:tcPr>
                  <w:tcW w:w="2133" w:type="pct"/>
                  <w:vAlign w:val="center"/>
                </w:tcPr>
                <w:p>
                  <w:pPr>
                    <w:pStyle w:val="67"/>
                    <w:rPr>
                      <w:lang w:eastAsia="zh-CN"/>
                    </w:rPr>
                  </w:pPr>
                  <w:r>
                    <w:rPr>
                      <w:rFonts w:hint="eastAsia"/>
                      <w:lang w:eastAsia="zh-CN"/>
                    </w:rPr>
                    <w:t>二氧化硫、烟气黑度执行《工业炉窑大气污染物排放标准》（GB9078-1996）中二级排放标准，颗粒物、氮氧化物执行《大气污染物综合排放标准》（GB16297-1996）中二级标准</w:t>
                  </w:r>
                </w:p>
              </w:tc>
              <w:tc>
                <w:tcPr>
                  <w:tcW w:w="391" w:type="pct"/>
                  <w:vAlign w:val="center"/>
                </w:tcPr>
                <w:p>
                  <w:pPr>
                    <w:pStyle w:val="67"/>
                  </w:pPr>
                  <w:r>
                    <w:rPr>
                      <w:rFonts w:hint="eastAsia"/>
                    </w:rPr>
                    <w:t>现有监测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 w:type="pct"/>
                  <w:vMerge w:val="continue"/>
                  <w:vAlign w:val="center"/>
                </w:tcPr>
                <w:p>
                  <w:pPr>
                    <w:pStyle w:val="67"/>
                  </w:pPr>
                </w:p>
              </w:tc>
              <w:tc>
                <w:tcPr>
                  <w:tcW w:w="418" w:type="pct"/>
                  <w:vMerge w:val="restart"/>
                  <w:vAlign w:val="center"/>
                </w:tcPr>
                <w:p>
                  <w:pPr>
                    <w:pStyle w:val="67"/>
                  </w:pPr>
                  <w:r>
                    <w:rPr>
                      <w:rFonts w:hint="eastAsia"/>
                    </w:rPr>
                    <w:t>无组织排放</w:t>
                  </w:r>
                </w:p>
              </w:tc>
              <w:tc>
                <w:tcPr>
                  <w:tcW w:w="592" w:type="pct"/>
                  <w:vAlign w:val="center"/>
                </w:tcPr>
                <w:p>
                  <w:pPr>
                    <w:pStyle w:val="67"/>
                  </w:pPr>
                  <w:r>
                    <w:rPr>
                      <w:rFonts w:hint="eastAsia"/>
                    </w:rPr>
                    <w:t>烘干区厂房门窗处</w:t>
                  </w:r>
                </w:p>
              </w:tc>
              <w:tc>
                <w:tcPr>
                  <w:tcW w:w="751" w:type="pct"/>
                  <w:vAlign w:val="center"/>
                </w:tcPr>
                <w:p>
                  <w:pPr>
                    <w:pStyle w:val="67"/>
                  </w:pPr>
                  <w:r>
                    <w:rPr>
                      <w:rFonts w:hint="eastAsia"/>
                    </w:rPr>
                    <w:t>颗粒物</w:t>
                  </w:r>
                </w:p>
              </w:tc>
              <w:tc>
                <w:tcPr>
                  <w:tcW w:w="447" w:type="pct"/>
                  <w:vAlign w:val="center"/>
                </w:tcPr>
                <w:p>
                  <w:pPr>
                    <w:pStyle w:val="67"/>
                  </w:pPr>
                  <w:r>
                    <w:rPr>
                      <w:rFonts w:hint="eastAsia"/>
                    </w:rPr>
                    <w:t>1次/年</w:t>
                  </w:r>
                </w:p>
              </w:tc>
              <w:tc>
                <w:tcPr>
                  <w:tcW w:w="2133" w:type="pct"/>
                  <w:vAlign w:val="center"/>
                </w:tcPr>
                <w:p>
                  <w:pPr>
                    <w:pStyle w:val="67"/>
                    <w:rPr>
                      <w:lang w:eastAsia="zh-CN"/>
                    </w:rPr>
                  </w:pPr>
                  <w:r>
                    <w:rPr>
                      <w:rFonts w:hint="eastAsia"/>
                      <w:lang w:eastAsia="zh-CN"/>
                    </w:rPr>
                    <w:t>《大气污染物综合排放标准》（GB16297-1996）中二级标准</w:t>
                  </w:r>
                </w:p>
              </w:tc>
              <w:tc>
                <w:tcPr>
                  <w:tcW w:w="391" w:type="pct"/>
                  <w:vAlign w:val="center"/>
                </w:tcPr>
                <w:p>
                  <w:pPr>
                    <w:pStyle w:val="67"/>
                  </w:pPr>
                  <w:r>
                    <w:rPr>
                      <w:rFonts w:hint="eastAsia"/>
                    </w:rPr>
                    <w:t>现有监测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269" w:type="pct"/>
                  <w:vMerge w:val="continue"/>
                  <w:vAlign w:val="center"/>
                </w:tcPr>
                <w:p>
                  <w:pPr>
                    <w:pStyle w:val="67"/>
                  </w:pPr>
                </w:p>
              </w:tc>
              <w:tc>
                <w:tcPr>
                  <w:tcW w:w="418" w:type="pct"/>
                  <w:vMerge w:val="continue"/>
                  <w:vAlign w:val="center"/>
                </w:tcPr>
                <w:p>
                  <w:pPr>
                    <w:pStyle w:val="67"/>
                  </w:pPr>
                </w:p>
              </w:tc>
              <w:tc>
                <w:tcPr>
                  <w:tcW w:w="592" w:type="pct"/>
                  <w:vMerge w:val="restart"/>
                  <w:vAlign w:val="center"/>
                </w:tcPr>
                <w:p>
                  <w:pPr>
                    <w:pStyle w:val="67"/>
                    <w:rPr>
                      <w:lang w:eastAsia="zh-CN"/>
                    </w:rPr>
                  </w:pPr>
                  <w:r>
                    <w:rPr>
                      <w:lang w:eastAsia="zh-CN"/>
                    </w:rPr>
                    <w:t>厂界上风向1个点位、下风向3个点位</w:t>
                  </w:r>
                </w:p>
              </w:tc>
              <w:tc>
                <w:tcPr>
                  <w:tcW w:w="751" w:type="pct"/>
                  <w:vAlign w:val="center"/>
                </w:tcPr>
                <w:p>
                  <w:pPr>
                    <w:pStyle w:val="67"/>
                  </w:pPr>
                  <w:r>
                    <w:t>颗粒物</w:t>
                  </w:r>
                </w:p>
              </w:tc>
              <w:tc>
                <w:tcPr>
                  <w:tcW w:w="447" w:type="pct"/>
                  <w:vAlign w:val="center"/>
                </w:tcPr>
                <w:p>
                  <w:pPr>
                    <w:pStyle w:val="67"/>
                  </w:pPr>
                  <w:r>
                    <w:rPr>
                      <w:rFonts w:hint="eastAsia"/>
                    </w:rPr>
                    <w:t>1</w:t>
                  </w:r>
                  <w:r>
                    <w:t>次/</w:t>
                  </w:r>
                  <w:r>
                    <w:rPr>
                      <w:rFonts w:hint="eastAsia"/>
                    </w:rPr>
                    <w:t>年</w:t>
                  </w:r>
                </w:p>
              </w:tc>
              <w:tc>
                <w:tcPr>
                  <w:tcW w:w="2133" w:type="pct"/>
                  <w:vAlign w:val="center"/>
                </w:tcPr>
                <w:p>
                  <w:pPr>
                    <w:pStyle w:val="67"/>
                    <w:rPr>
                      <w:lang w:eastAsia="zh-CN"/>
                    </w:rPr>
                  </w:pPr>
                  <w:r>
                    <w:rPr>
                      <w:rFonts w:hint="eastAsia"/>
                      <w:lang w:eastAsia="zh-CN"/>
                    </w:rPr>
                    <w:t>《大气污染物综合排放标准》（GB16297-1996）中二级标准</w:t>
                  </w:r>
                </w:p>
              </w:tc>
              <w:tc>
                <w:tcPr>
                  <w:tcW w:w="391" w:type="pct"/>
                  <w:vAlign w:val="center"/>
                </w:tcPr>
                <w:p>
                  <w:pPr>
                    <w:pStyle w:val="67"/>
                  </w:pPr>
                  <w:r>
                    <w:rPr>
                      <w:rFonts w:hint="eastAsia"/>
                    </w:rPr>
                    <w:t>现有监测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 w:type="pct"/>
                  <w:vMerge w:val="continue"/>
                  <w:vAlign w:val="center"/>
                </w:tcPr>
                <w:p>
                  <w:pPr>
                    <w:pStyle w:val="67"/>
                  </w:pPr>
                </w:p>
              </w:tc>
              <w:tc>
                <w:tcPr>
                  <w:tcW w:w="418" w:type="pct"/>
                  <w:vMerge w:val="continue"/>
                  <w:vAlign w:val="center"/>
                </w:tcPr>
                <w:p>
                  <w:pPr>
                    <w:pStyle w:val="67"/>
                  </w:pPr>
                </w:p>
              </w:tc>
              <w:tc>
                <w:tcPr>
                  <w:tcW w:w="592" w:type="pct"/>
                  <w:vMerge w:val="continue"/>
                  <w:vAlign w:val="center"/>
                </w:tcPr>
                <w:p>
                  <w:pPr>
                    <w:pStyle w:val="67"/>
                  </w:pPr>
                </w:p>
              </w:tc>
              <w:tc>
                <w:tcPr>
                  <w:tcW w:w="751" w:type="pct"/>
                  <w:vAlign w:val="center"/>
                </w:tcPr>
                <w:p>
                  <w:pPr>
                    <w:pStyle w:val="67"/>
                  </w:pPr>
                  <w:r>
                    <w:rPr>
                      <w:rFonts w:hint="eastAsia"/>
                    </w:rPr>
                    <w:t>氨</w:t>
                  </w:r>
                </w:p>
              </w:tc>
              <w:tc>
                <w:tcPr>
                  <w:tcW w:w="447" w:type="pct"/>
                  <w:vAlign w:val="center"/>
                </w:tcPr>
                <w:p>
                  <w:pPr>
                    <w:pStyle w:val="67"/>
                  </w:pPr>
                  <w:r>
                    <w:rPr>
                      <w:rFonts w:hint="eastAsia"/>
                    </w:rPr>
                    <w:t>1次/年</w:t>
                  </w:r>
                </w:p>
              </w:tc>
              <w:tc>
                <w:tcPr>
                  <w:tcW w:w="2133" w:type="pct"/>
                  <w:vMerge w:val="restart"/>
                  <w:vAlign w:val="center"/>
                </w:tcPr>
                <w:p>
                  <w:pPr>
                    <w:pStyle w:val="67"/>
                    <w:rPr>
                      <w:lang w:eastAsia="zh-CN"/>
                    </w:rPr>
                  </w:pPr>
                  <w:r>
                    <w:rPr>
                      <w:rFonts w:hint="eastAsia"/>
                      <w:lang w:eastAsia="zh-CN"/>
                    </w:rPr>
                    <w:t>《恶臭污染物排放标准》（GB14554-1993）</w:t>
                  </w:r>
                </w:p>
              </w:tc>
              <w:tc>
                <w:tcPr>
                  <w:tcW w:w="391" w:type="pct"/>
                  <w:vMerge w:val="restart"/>
                  <w:vAlign w:val="center"/>
                </w:tcPr>
                <w:p>
                  <w:pPr>
                    <w:pStyle w:val="67"/>
                  </w:pPr>
                  <w:r>
                    <w:rPr>
                      <w:rFonts w:hint="eastAsia"/>
                    </w:rPr>
                    <w:t>现有监测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 w:type="pct"/>
                  <w:vMerge w:val="continue"/>
                  <w:vAlign w:val="center"/>
                </w:tcPr>
                <w:p>
                  <w:pPr>
                    <w:pStyle w:val="67"/>
                  </w:pPr>
                </w:p>
              </w:tc>
              <w:tc>
                <w:tcPr>
                  <w:tcW w:w="418" w:type="pct"/>
                  <w:vMerge w:val="continue"/>
                  <w:vAlign w:val="center"/>
                </w:tcPr>
                <w:p>
                  <w:pPr>
                    <w:pStyle w:val="67"/>
                  </w:pPr>
                </w:p>
              </w:tc>
              <w:tc>
                <w:tcPr>
                  <w:tcW w:w="592" w:type="pct"/>
                  <w:vMerge w:val="continue"/>
                  <w:vAlign w:val="center"/>
                </w:tcPr>
                <w:p>
                  <w:pPr>
                    <w:pStyle w:val="67"/>
                  </w:pPr>
                </w:p>
              </w:tc>
              <w:tc>
                <w:tcPr>
                  <w:tcW w:w="751" w:type="pct"/>
                  <w:vAlign w:val="center"/>
                </w:tcPr>
                <w:p>
                  <w:pPr>
                    <w:pStyle w:val="67"/>
                  </w:pPr>
                  <w:r>
                    <w:rPr>
                      <w:rFonts w:hint="eastAsia"/>
                    </w:rPr>
                    <w:t>臭气浓度</w:t>
                  </w:r>
                </w:p>
              </w:tc>
              <w:tc>
                <w:tcPr>
                  <w:tcW w:w="447" w:type="pct"/>
                  <w:vAlign w:val="center"/>
                </w:tcPr>
                <w:p>
                  <w:pPr>
                    <w:pStyle w:val="67"/>
                  </w:pPr>
                  <w:r>
                    <w:rPr>
                      <w:rFonts w:hint="eastAsia"/>
                    </w:rPr>
                    <w:t>1次/年</w:t>
                  </w:r>
                </w:p>
              </w:tc>
              <w:tc>
                <w:tcPr>
                  <w:tcW w:w="2133" w:type="pct"/>
                  <w:vMerge w:val="continue"/>
                  <w:vAlign w:val="center"/>
                </w:tcPr>
                <w:p>
                  <w:pPr>
                    <w:pStyle w:val="67"/>
                  </w:pPr>
                </w:p>
              </w:tc>
              <w:tc>
                <w:tcPr>
                  <w:tcW w:w="391" w:type="pct"/>
                  <w:vMerge w:val="continue"/>
                  <w:vAlign w:val="center"/>
                </w:tcPr>
                <w:p>
                  <w:pPr>
                    <w:pStyle w:val="67"/>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9" w:type="pct"/>
                  <w:vAlign w:val="center"/>
                </w:tcPr>
                <w:p>
                  <w:pPr>
                    <w:pStyle w:val="67"/>
                  </w:pPr>
                  <w:r>
                    <w:rPr>
                      <w:rFonts w:hint="eastAsia"/>
                    </w:rPr>
                    <w:t>噪声</w:t>
                  </w:r>
                </w:p>
              </w:tc>
              <w:tc>
                <w:tcPr>
                  <w:tcW w:w="418" w:type="pct"/>
                  <w:vAlign w:val="center"/>
                </w:tcPr>
                <w:p>
                  <w:pPr>
                    <w:pStyle w:val="67"/>
                  </w:pPr>
                  <w:r>
                    <w:rPr>
                      <w:rFonts w:hint="eastAsia"/>
                    </w:rPr>
                    <w:t>连续</w:t>
                  </w:r>
                </w:p>
              </w:tc>
              <w:tc>
                <w:tcPr>
                  <w:tcW w:w="592" w:type="pct"/>
                  <w:vAlign w:val="center"/>
                </w:tcPr>
                <w:p>
                  <w:pPr>
                    <w:pStyle w:val="67"/>
                  </w:pPr>
                  <w:r>
                    <w:rPr>
                      <w:rFonts w:hint="eastAsia"/>
                    </w:rPr>
                    <w:t>厂界四周</w:t>
                  </w:r>
                </w:p>
              </w:tc>
              <w:tc>
                <w:tcPr>
                  <w:tcW w:w="751" w:type="pct"/>
                  <w:vAlign w:val="center"/>
                </w:tcPr>
                <w:p>
                  <w:pPr>
                    <w:pStyle w:val="67"/>
                    <w:rPr>
                      <w:lang w:eastAsia="zh-CN"/>
                    </w:rPr>
                  </w:pPr>
                  <w:r>
                    <w:rPr>
                      <w:rFonts w:hint="eastAsia"/>
                      <w:lang w:eastAsia="zh-CN"/>
                    </w:rPr>
                    <w:t>等效连续A声级Leq（A）</w:t>
                  </w:r>
                </w:p>
              </w:tc>
              <w:tc>
                <w:tcPr>
                  <w:tcW w:w="447" w:type="pct"/>
                  <w:vAlign w:val="center"/>
                </w:tcPr>
                <w:p>
                  <w:pPr>
                    <w:pStyle w:val="67"/>
                  </w:pPr>
                  <w:r>
                    <w:rPr>
                      <w:rFonts w:hint="eastAsia"/>
                    </w:rPr>
                    <w:t>1次/季度</w:t>
                  </w:r>
                </w:p>
              </w:tc>
              <w:tc>
                <w:tcPr>
                  <w:tcW w:w="2133" w:type="pct"/>
                  <w:vAlign w:val="center"/>
                </w:tcPr>
                <w:p>
                  <w:pPr>
                    <w:pStyle w:val="67"/>
                    <w:rPr>
                      <w:lang w:eastAsia="zh-CN"/>
                    </w:rPr>
                  </w:pPr>
                  <w:r>
                    <w:rPr>
                      <w:rFonts w:hint="eastAsia"/>
                      <w:lang w:eastAsia="zh-CN"/>
                    </w:rPr>
                    <w:t>《工业企业厂界环境噪声排放标准》（GB 12348-2008）中3类标准限值</w:t>
                  </w:r>
                </w:p>
              </w:tc>
              <w:tc>
                <w:tcPr>
                  <w:tcW w:w="391" w:type="pct"/>
                  <w:vAlign w:val="center"/>
                </w:tcPr>
                <w:p>
                  <w:pPr>
                    <w:pStyle w:val="67"/>
                  </w:pPr>
                  <w:r>
                    <w:rPr>
                      <w:rFonts w:hint="eastAsia"/>
                    </w:rPr>
                    <w:t>现有监测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269" w:type="pct"/>
                  <w:vAlign w:val="center"/>
                </w:tcPr>
                <w:p>
                  <w:pPr>
                    <w:pStyle w:val="67"/>
                  </w:pPr>
                  <w:r>
                    <w:rPr>
                      <w:rFonts w:hint="eastAsia"/>
                    </w:rPr>
                    <w:t>废水</w:t>
                  </w:r>
                </w:p>
              </w:tc>
              <w:tc>
                <w:tcPr>
                  <w:tcW w:w="418" w:type="pct"/>
                  <w:vAlign w:val="center"/>
                </w:tcPr>
                <w:p>
                  <w:pPr>
                    <w:pStyle w:val="67"/>
                  </w:pPr>
                  <w:r>
                    <w:rPr>
                      <w:rFonts w:hint="eastAsia"/>
                    </w:rPr>
                    <w:t>间接排放</w:t>
                  </w:r>
                </w:p>
              </w:tc>
              <w:tc>
                <w:tcPr>
                  <w:tcW w:w="592" w:type="pct"/>
                  <w:vAlign w:val="center"/>
                </w:tcPr>
                <w:p>
                  <w:pPr>
                    <w:pStyle w:val="67"/>
                  </w:pPr>
                  <w:r>
                    <w:rPr>
                      <w:rFonts w:hint="eastAsia"/>
                    </w:rPr>
                    <w:t>总排口</w:t>
                  </w:r>
                </w:p>
              </w:tc>
              <w:tc>
                <w:tcPr>
                  <w:tcW w:w="751" w:type="pct"/>
                  <w:vAlign w:val="center"/>
                </w:tcPr>
                <w:p>
                  <w:pPr>
                    <w:pStyle w:val="67"/>
                    <w:rPr>
                      <w:lang w:eastAsia="zh-CN"/>
                    </w:rPr>
                  </w:pPr>
                  <w:r>
                    <w:rPr>
                      <w:lang w:eastAsia="zh-CN"/>
                    </w:rPr>
                    <w:t>pH值、悬浮物、化学需氧量、五日生化需氧量、氨氮、总磷、总氮、动植物油、阴离子表面活性剂</w:t>
                  </w:r>
                </w:p>
              </w:tc>
              <w:tc>
                <w:tcPr>
                  <w:tcW w:w="447" w:type="pct"/>
                  <w:vAlign w:val="center"/>
                </w:tcPr>
                <w:p>
                  <w:pPr>
                    <w:pStyle w:val="67"/>
                  </w:pPr>
                  <w:r>
                    <w:rPr>
                      <w:rFonts w:hint="eastAsia"/>
                    </w:rPr>
                    <w:t>1次/年</w:t>
                  </w:r>
                </w:p>
              </w:tc>
              <w:tc>
                <w:tcPr>
                  <w:tcW w:w="2133" w:type="pct"/>
                  <w:vAlign w:val="center"/>
                </w:tcPr>
                <w:p>
                  <w:pPr>
                    <w:pStyle w:val="67"/>
                    <w:rPr>
                      <w:lang w:eastAsia="zh-CN"/>
                    </w:rPr>
                  </w:pPr>
                  <w:r>
                    <w:rPr>
                      <w:rFonts w:hint="eastAsia"/>
                      <w:color w:val="FF0000"/>
                      <w:lang w:eastAsia="zh-CN"/>
                    </w:rPr>
                    <w:t>《污水综合排放标准》（GB897</w:t>
                  </w:r>
                  <w:r>
                    <w:rPr>
                      <w:color w:val="FF0000"/>
                      <w:lang w:eastAsia="zh-CN"/>
                    </w:rPr>
                    <w:t>8</w:t>
                  </w:r>
                  <w:r>
                    <w:rPr>
                      <w:rFonts w:hint="eastAsia"/>
                      <w:color w:val="FF0000"/>
                      <w:lang w:eastAsia="zh-CN"/>
                    </w:rPr>
                    <w:t>-1996）三级标准</w:t>
                  </w:r>
                </w:p>
              </w:tc>
              <w:tc>
                <w:tcPr>
                  <w:tcW w:w="391" w:type="pct"/>
                  <w:vAlign w:val="center"/>
                </w:tcPr>
                <w:p>
                  <w:pPr>
                    <w:pStyle w:val="67"/>
                    <w:rPr>
                      <w:lang w:eastAsia="zh-CN"/>
                    </w:rPr>
                  </w:pPr>
                  <w:r>
                    <w:rPr>
                      <w:rFonts w:hint="eastAsia"/>
                      <w:lang w:eastAsia="zh-CN"/>
                    </w:rPr>
                    <w:t>现有监测</w:t>
                  </w:r>
                </w:p>
              </w:tc>
            </w:tr>
          </w:tbl>
          <w:p>
            <w:pPr>
              <w:pStyle w:val="92"/>
              <w:numPr>
                <w:ilvl w:val="0"/>
                <w:numId w:val="0"/>
              </w:numPr>
              <w:spacing w:before="120"/>
              <w:rPr>
                <w:rFonts w:hint="default"/>
                <w:color w:val="auto"/>
              </w:rPr>
            </w:pPr>
            <w:r>
              <w:rPr>
                <w:color w:val="auto"/>
              </w:rPr>
              <w:t>1</w:t>
            </w:r>
            <w:r>
              <w:rPr>
                <w:rFonts w:hint="default"/>
                <w:color w:val="auto"/>
              </w:rPr>
              <w:t>0.环保投资</w:t>
            </w:r>
          </w:p>
          <w:p>
            <w:pPr>
              <w:pStyle w:val="67"/>
              <w:rPr>
                <w:b/>
                <w:bCs/>
                <w:lang w:eastAsia="zh-CN"/>
              </w:rPr>
            </w:pPr>
            <w:r>
              <w:rPr>
                <w:b/>
                <w:bCs/>
                <w:lang w:eastAsia="zh-CN"/>
              </w:rPr>
              <w:t>表4-5 环保</w:t>
            </w:r>
            <w:bookmarkStart w:id="326" w:name="OLE_LINK149"/>
            <w:bookmarkStart w:id="327" w:name="OLE_LINK150"/>
            <w:r>
              <w:rPr>
                <w:b/>
                <w:bCs/>
                <w:lang w:eastAsia="zh-CN"/>
              </w:rPr>
              <w:t>投资</w:t>
            </w:r>
            <w:bookmarkEnd w:id="326"/>
            <w:bookmarkEnd w:id="327"/>
            <w:r>
              <w:rPr>
                <w:b/>
                <w:bCs/>
                <w:lang w:eastAsia="zh-CN"/>
              </w:rPr>
              <w:t>一览表</w:t>
            </w:r>
          </w:p>
          <w:tbl>
            <w:tblPr>
              <w:tblStyle w:val="23"/>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3"/>
              <w:gridCol w:w="1331"/>
              <w:gridCol w:w="3069"/>
              <w:gridCol w:w="27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0" w:hRule="atLeast"/>
              </w:trPr>
              <w:tc>
                <w:tcPr>
                  <w:tcW w:w="696" w:type="pct"/>
                  <w:tcBorders>
                    <w:top w:val="single" w:color="auto" w:sz="4" w:space="0"/>
                    <w:left w:val="single" w:color="auto" w:sz="4" w:space="0"/>
                    <w:bottom w:val="single" w:color="auto" w:sz="4" w:space="0"/>
                    <w:right w:val="single" w:color="auto" w:sz="4" w:space="0"/>
                  </w:tcBorders>
                  <w:vAlign w:val="center"/>
                </w:tcPr>
                <w:p>
                  <w:pPr>
                    <w:pStyle w:val="89"/>
                    <w:rPr>
                      <w:rFonts w:hint="default" w:ascii="Times New Roman" w:hAnsi="Times New Roman" w:cs="Times New Roman"/>
                      <w:color w:val="auto"/>
                      <w:sz w:val="21"/>
                    </w:rPr>
                  </w:pPr>
                  <w:bookmarkStart w:id="328" w:name="OLE_LINK181"/>
                  <w:bookmarkStart w:id="329" w:name="OLE_LINK180"/>
                  <w:r>
                    <w:rPr>
                      <w:color w:val="auto"/>
                    </w:rPr>
                    <w:t>项目</w:t>
                  </w:r>
                </w:p>
              </w:tc>
              <w:tc>
                <w:tcPr>
                  <w:tcW w:w="804" w:type="pct"/>
                  <w:tcBorders>
                    <w:top w:val="single" w:color="auto" w:sz="4" w:space="0"/>
                    <w:left w:val="single" w:color="auto" w:sz="4" w:space="0"/>
                    <w:bottom w:val="single" w:color="auto" w:sz="4" w:space="0"/>
                    <w:right w:val="single" w:color="auto" w:sz="4" w:space="0"/>
                  </w:tcBorders>
                  <w:vAlign w:val="center"/>
                </w:tcPr>
                <w:p>
                  <w:pPr>
                    <w:pStyle w:val="89"/>
                    <w:rPr>
                      <w:rFonts w:hint="default"/>
                      <w:color w:val="auto"/>
                    </w:rPr>
                  </w:pPr>
                  <w:r>
                    <w:rPr>
                      <w:color w:val="auto"/>
                    </w:rPr>
                    <w:t>污染源</w:t>
                  </w:r>
                </w:p>
              </w:tc>
              <w:tc>
                <w:tcPr>
                  <w:tcW w:w="1853" w:type="pct"/>
                  <w:tcBorders>
                    <w:top w:val="single" w:color="auto" w:sz="4" w:space="0"/>
                    <w:left w:val="single" w:color="auto" w:sz="4" w:space="0"/>
                    <w:bottom w:val="single" w:color="auto" w:sz="4" w:space="0"/>
                    <w:right w:val="single" w:color="auto" w:sz="4" w:space="0"/>
                  </w:tcBorders>
                  <w:vAlign w:val="center"/>
                </w:tcPr>
                <w:p>
                  <w:pPr>
                    <w:pStyle w:val="89"/>
                    <w:rPr>
                      <w:rFonts w:hint="default"/>
                      <w:color w:val="auto"/>
                    </w:rPr>
                  </w:pPr>
                  <w:r>
                    <w:rPr>
                      <w:color w:val="auto"/>
                    </w:rPr>
                    <w:t>环保措施</w:t>
                  </w:r>
                </w:p>
              </w:tc>
              <w:tc>
                <w:tcPr>
                  <w:tcW w:w="1647" w:type="pct"/>
                  <w:tcBorders>
                    <w:top w:val="single" w:color="auto" w:sz="4" w:space="0"/>
                    <w:left w:val="single" w:color="auto" w:sz="4" w:space="0"/>
                    <w:bottom w:val="single" w:color="auto" w:sz="4" w:space="0"/>
                    <w:right w:val="single" w:color="auto" w:sz="4" w:space="0"/>
                  </w:tcBorders>
                  <w:vAlign w:val="center"/>
                </w:tcPr>
                <w:p>
                  <w:pPr>
                    <w:pStyle w:val="89"/>
                    <w:rPr>
                      <w:rFonts w:hint="default"/>
                      <w:color w:val="auto"/>
                      <w:sz w:val="21"/>
                    </w:rPr>
                  </w:pPr>
                  <w:r>
                    <w:rPr>
                      <w:color w:val="auto"/>
                      <w:sz w:val="21"/>
                    </w:rPr>
                    <w:t>环保投资（万元）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0" w:hRule="atLeast"/>
              </w:trPr>
              <w:tc>
                <w:tcPr>
                  <w:tcW w:w="696" w:type="pct"/>
                  <w:tcBorders>
                    <w:top w:val="single" w:color="auto" w:sz="4" w:space="0"/>
                    <w:left w:val="single" w:color="auto" w:sz="4" w:space="0"/>
                    <w:bottom w:val="single" w:color="auto" w:sz="4" w:space="0"/>
                    <w:right w:val="single" w:color="auto" w:sz="4" w:space="0"/>
                  </w:tcBorders>
                  <w:vAlign w:val="center"/>
                </w:tcPr>
                <w:p>
                  <w:pPr>
                    <w:pStyle w:val="89"/>
                    <w:rPr>
                      <w:rFonts w:hint="default" w:ascii="Times New Roman" w:hAnsi="Times New Roman" w:cs="Times New Roman"/>
                      <w:b w:val="0"/>
                      <w:bCs w:val="0"/>
                      <w:color w:val="000000" w:themeColor="text1"/>
                      <w:sz w:val="21"/>
                      <w14:textFill>
                        <w14:solidFill>
                          <w14:schemeClr w14:val="tx1"/>
                        </w14:solidFill>
                      </w14:textFill>
                    </w:rPr>
                  </w:pPr>
                  <w:r>
                    <w:rPr>
                      <w:rFonts w:hint="default" w:ascii="Times New Roman" w:hAnsi="Times New Roman" w:cs="Times New Roman"/>
                      <w:b w:val="0"/>
                      <w:bCs w:val="0"/>
                      <w:color w:val="000000" w:themeColor="text1"/>
                      <w:sz w:val="21"/>
                      <w14:textFill>
                        <w14:solidFill>
                          <w14:schemeClr w14:val="tx1"/>
                        </w14:solidFill>
                      </w14:textFill>
                    </w:rPr>
                    <w:t>废水</w:t>
                  </w:r>
                </w:p>
              </w:tc>
              <w:tc>
                <w:tcPr>
                  <w:tcW w:w="804" w:type="pct"/>
                  <w:tcBorders>
                    <w:top w:val="single" w:color="auto" w:sz="4" w:space="0"/>
                    <w:left w:val="single" w:color="auto" w:sz="4" w:space="0"/>
                    <w:bottom w:val="single" w:color="auto" w:sz="4" w:space="0"/>
                    <w:right w:val="single" w:color="auto" w:sz="4" w:space="0"/>
                  </w:tcBorders>
                  <w:vAlign w:val="center"/>
                </w:tcPr>
                <w:p>
                  <w:pPr>
                    <w:pStyle w:val="89"/>
                    <w:rPr>
                      <w:rFonts w:hint="default" w:ascii="Times New Roman" w:hAnsi="Times New Roman" w:cs="Times New Roman"/>
                      <w:b w:val="0"/>
                      <w:bCs w:val="0"/>
                      <w:color w:val="000000" w:themeColor="text1"/>
                      <w:sz w:val="21"/>
                      <w14:textFill>
                        <w14:solidFill>
                          <w14:schemeClr w14:val="tx1"/>
                        </w14:solidFill>
                      </w14:textFill>
                    </w:rPr>
                  </w:pPr>
                  <w:r>
                    <w:rPr>
                      <w:rFonts w:hint="default" w:ascii="Times New Roman" w:hAnsi="Times New Roman" w:cs="Times New Roman"/>
                      <w:b w:val="0"/>
                      <w:bCs w:val="0"/>
                      <w:color w:val="000000" w:themeColor="text1"/>
                      <w:sz w:val="21"/>
                      <w14:textFill>
                        <w14:solidFill>
                          <w14:schemeClr w14:val="tx1"/>
                        </w14:solidFill>
                      </w14:textFill>
                    </w:rPr>
                    <w:t>生产废水</w:t>
                  </w:r>
                </w:p>
              </w:tc>
              <w:tc>
                <w:tcPr>
                  <w:tcW w:w="1853" w:type="pct"/>
                  <w:tcBorders>
                    <w:top w:val="single" w:color="auto" w:sz="4" w:space="0"/>
                    <w:left w:val="single" w:color="auto" w:sz="4" w:space="0"/>
                    <w:bottom w:val="single" w:color="auto" w:sz="4" w:space="0"/>
                    <w:right w:val="single" w:color="auto" w:sz="4" w:space="0"/>
                  </w:tcBorders>
                  <w:vAlign w:val="center"/>
                </w:tcPr>
                <w:p>
                  <w:pPr>
                    <w:pStyle w:val="89"/>
                    <w:rPr>
                      <w:rFonts w:hint="default" w:ascii="Times New Roman" w:hAnsi="Times New Roman" w:cs="Times New Roman"/>
                      <w:b w:val="0"/>
                      <w:bCs w:val="0"/>
                      <w:color w:val="000000" w:themeColor="text1"/>
                      <w:sz w:val="21"/>
                      <w14:textFill>
                        <w14:solidFill>
                          <w14:schemeClr w14:val="tx1"/>
                        </w14:solidFill>
                      </w14:textFill>
                    </w:rPr>
                  </w:pPr>
                  <w:r>
                    <w:rPr>
                      <w:rFonts w:hint="default" w:ascii="Times New Roman" w:hAnsi="Times New Roman" w:cs="Times New Roman"/>
                      <w:b w:val="0"/>
                      <w:bCs w:val="0"/>
                      <w:color w:val="000000" w:themeColor="text1"/>
                      <w:sz w:val="21"/>
                      <w14:textFill>
                        <w14:solidFill>
                          <w14:schemeClr w14:val="tx1"/>
                        </w14:solidFill>
                      </w14:textFill>
                    </w:rPr>
                    <w:t>生产用水循环使用，不外排。新建</w:t>
                  </w:r>
                  <w:r>
                    <w:rPr>
                      <w:rFonts w:ascii="Times New Roman" w:hAnsi="Times New Roman" w:cs="Times New Roman"/>
                      <w:b w:val="0"/>
                      <w:bCs w:val="0"/>
                      <w:color w:val="000000" w:themeColor="text1"/>
                      <w:sz w:val="21"/>
                      <w14:textFill>
                        <w14:solidFill>
                          <w14:schemeClr w14:val="tx1"/>
                        </w14:solidFill>
                      </w14:textFill>
                    </w:rPr>
                    <w:t>1座</w:t>
                  </w:r>
                  <w:r>
                    <w:rPr>
                      <w:rFonts w:hint="default" w:ascii="Times New Roman" w:hAnsi="Times New Roman" w:cs="Times New Roman"/>
                      <w:b w:val="0"/>
                      <w:bCs w:val="0"/>
                      <w:color w:val="000000" w:themeColor="text1"/>
                      <w:sz w:val="21"/>
                      <w14:textFill>
                        <w14:solidFill>
                          <w14:schemeClr w14:val="tx1"/>
                        </w14:solidFill>
                      </w14:textFill>
                    </w:rPr>
                    <w:t>废水循环池</w:t>
                  </w:r>
                  <w:r>
                    <w:rPr>
                      <w:rFonts w:ascii="Times New Roman" w:hAnsi="Times New Roman" w:cs="Times New Roman"/>
                      <w:b w:val="0"/>
                      <w:bCs w:val="0"/>
                      <w:color w:val="000000" w:themeColor="text1"/>
                      <w:sz w:val="21"/>
                      <w14:textFill>
                        <w14:solidFill>
                          <w14:schemeClr w14:val="tx1"/>
                        </w14:solidFill>
                      </w14:textFill>
                    </w:rPr>
                    <w:t>，容积2</w:t>
                  </w:r>
                  <w:r>
                    <w:rPr>
                      <w:rFonts w:hint="default" w:ascii="Times New Roman" w:hAnsi="Times New Roman" w:cs="Times New Roman"/>
                      <w:b w:val="0"/>
                      <w:bCs w:val="0"/>
                      <w:color w:val="000000" w:themeColor="text1"/>
                      <w:sz w:val="21"/>
                      <w14:textFill>
                        <w14:solidFill>
                          <w14:schemeClr w14:val="tx1"/>
                        </w14:solidFill>
                      </w14:textFill>
                    </w:rPr>
                    <w:t>0</w:t>
                  </w:r>
                  <w:r>
                    <w:rPr>
                      <w:rFonts w:ascii="Times New Roman" w:hAnsi="Times New Roman" w:cs="Times New Roman"/>
                      <w:b w:val="0"/>
                      <w:bCs w:val="0"/>
                      <w:color w:val="000000" w:themeColor="text1"/>
                      <w:sz w:val="21"/>
                      <w14:textFill>
                        <w14:solidFill>
                          <w14:schemeClr w14:val="tx1"/>
                        </w14:solidFill>
                      </w14:textFill>
                    </w:rPr>
                    <w:t>m</w:t>
                  </w:r>
                  <w:r>
                    <w:rPr>
                      <w:rFonts w:hint="default" w:ascii="Times New Roman" w:hAnsi="Times New Roman" w:cs="Times New Roman"/>
                      <w:b w:val="0"/>
                      <w:bCs w:val="0"/>
                      <w:color w:val="000000" w:themeColor="text1"/>
                      <w:sz w:val="21"/>
                      <w:vertAlign w:val="superscript"/>
                      <w14:textFill>
                        <w14:solidFill>
                          <w14:schemeClr w14:val="tx1"/>
                        </w14:solidFill>
                      </w14:textFill>
                    </w:rPr>
                    <w:t>3</w:t>
                  </w:r>
                  <w:r>
                    <w:rPr>
                      <w:rFonts w:ascii="Times New Roman" w:hAnsi="Times New Roman" w:cs="Times New Roman"/>
                      <w:b w:val="0"/>
                      <w:bCs w:val="0"/>
                      <w:color w:val="000000" w:themeColor="text1"/>
                      <w:sz w:val="21"/>
                      <w14:textFill>
                        <w14:solidFill>
                          <w14:schemeClr w14:val="tx1"/>
                        </w14:solidFill>
                      </w14:textFill>
                    </w:rPr>
                    <w:t>，防渗</w:t>
                  </w:r>
                  <w:r>
                    <w:rPr>
                      <w:rFonts w:hint="default" w:ascii="Times New Roman" w:hAnsi="Times New Roman" w:cs="Times New Roman"/>
                      <w:b w:val="0"/>
                      <w:bCs w:val="0"/>
                      <w:sz w:val="21"/>
                    </w:rPr>
                    <w:t>要求为等效黏土防渗层Mb≥1.5m，K≤1×10</w:t>
                  </w:r>
                  <w:r>
                    <w:rPr>
                      <w:rFonts w:hint="default" w:ascii="Times New Roman" w:hAnsi="Times New Roman" w:cs="Times New Roman"/>
                      <w:b w:val="0"/>
                      <w:bCs w:val="0"/>
                      <w:sz w:val="21"/>
                      <w:vertAlign w:val="superscript"/>
                    </w:rPr>
                    <w:t>-7</w:t>
                  </w:r>
                  <w:r>
                    <w:rPr>
                      <w:rFonts w:hint="default" w:ascii="Times New Roman" w:hAnsi="Times New Roman" w:cs="Times New Roman"/>
                      <w:b w:val="0"/>
                      <w:bCs w:val="0"/>
                      <w:sz w:val="21"/>
                    </w:rPr>
                    <w:t>cm/s</w:t>
                  </w:r>
                </w:p>
              </w:tc>
              <w:tc>
                <w:tcPr>
                  <w:tcW w:w="1647" w:type="pct"/>
                  <w:tcBorders>
                    <w:top w:val="single" w:color="auto" w:sz="4" w:space="0"/>
                    <w:left w:val="single" w:color="auto" w:sz="4" w:space="0"/>
                    <w:bottom w:val="single" w:color="auto" w:sz="4" w:space="0"/>
                    <w:right w:val="single" w:color="auto" w:sz="4" w:space="0"/>
                  </w:tcBorders>
                  <w:vAlign w:val="center"/>
                </w:tcPr>
                <w:p>
                  <w:pPr>
                    <w:pStyle w:val="89"/>
                    <w:rPr>
                      <w:rFonts w:hint="default" w:ascii="Times New Roman" w:hAnsi="Times New Roman" w:cs="Times New Roman"/>
                      <w:b w:val="0"/>
                      <w:bCs w:val="0"/>
                      <w:color w:val="000000" w:themeColor="text1"/>
                      <w:sz w:val="21"/>
                      <w14:textFill>
                        <w14:solidFill>
                          <w14:schemeClr w14:val="tx1"/>
                        </w14:solidFill>
                      </w14:textFill>
                    </w:rPr>
                  </w:pPr>
                  <w:r>
                    <w:rPr>
                      <w:rFonts w:hint="default" w:ascii="Times New Roman" w:hAnsi="Times New Roman" w:cs="Times New Roman"/>
                      <w:b w:val="0"/>
                      <w:bCs w:val="0"/>
                      <w:color w:val="000000" w:themeColor="text1"/>
                      <w:sz w:val="21"/>
                      <w14:textFill>
                        <w14:solidFill>
                          <w14:schemeClr w14:val="tx1"/>
                        </w14:solidFill>
                      </w14:textFill>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696" w:type="pct"/>
                  <w:tcBorders>
                    <w:top w:val="single" w:color="auto" w:sz="4" w:space="0"/>
                    <w:left w:val="single" w:color="auto" w:sz="4" w:space="0"/>
                    <w:bottom w:val="single" w:color="auto" w:sz="4" w:space="0"/>
                    <w:right w:val="single" w:color="auto" w:sz="4" w:space="0"/>
                  </w:tcBorders>
                  <w:vAlign w:val="center"/>
                </w:tcPr>
                <w:p>
                  <w:pPr>
                    <w:pStyle w:val="84"/>
                  </w:pPr>
                  <w:r>
                    <w:rPr>
                      <w:rFonts w:hint="eastAsia"/>
                    </w:rPr>
                    <w:t>噪声</w:t>
                  </w:r>
                </w:p>
              </w:tc>
              <w:tc>
                <w:tcPr>
                  <w:tcW w:w="804" w:type="pct"/>
                  <w:tcBorders>
                    <w:top w:val="single" w:color="auto" w:sz="4" w:space="0"/>
                    <w:left w:val="single" w:color="auto" w:sz="4" w:space="0"/>
                    <w:bottom w:val="single" w:color="auto" w:sz="4" w:space="0"/>
                    <w:right w:val="single" w:color="auto" w:sz="4" w:space="0"/>
                  </w:tcBorders>
                  <w:vAlign w:val="center"/>
                </w:tcPr>
                <w:p>
                  <w:pPr>
                    <w:pStyle w:val="84"/>
                  </w:pPr>
                  <w:r>
                    <w:rPr>
                      <w:rFonts w:hint="eastAsia"/>
                    </w:rPr>
                    <w:t>设备噪声</w:t>
                  </w:r>
                </w:p>
              </w:tc>
              <w:tc>
                <w:tcPr>
                  <w:tcW w:w="1853" w:type="pct"/>
                  <w:tcBorders>
                    <w:top w:val="single" w:color="auto" w:sz="4" w:space="0"/>
                    <w:left w:val="single" w:color="auto" w:sz="4" w:space="0"/>
                    <w:bottom w:val="single" w:color="auto" w:sz="4" w:space="0"/>
                    <w:right w:val="single" w:color="auto" w:sz="4" w:space="0"/>
                  </w:tcBorders>
                  <w:vAlign w:val="center"/>
                </w:tcPr>
                <w:p>
                  <w:pPr>
                    <w:pStyle w:val="84"/>
                  </w:pPr>
                  <w:r>
                    <w:rPr>
                      <w:rFonts w:hint="eastAsia"/>
                    </w:rPr>
                    <w:t>低噪设备、基座减震、隔声等</w:t>
                  </w:r>
                </w:p>
              </w:tc>
              <w:tc>
                <w:tcPr>
                  <w:tcW w:w="1647" w:type="pct"/>
                  <w:tcBorders>
                    <w:top w:val="single" w:color="auto" w:sz="4" w:space="0"/>
                    <w:left w:val="single" w:color="auto" w:sz="4" w:space="0"/>
                    <w:bottom w:val="single" w:color="auto" w:sz="4" w:space="0"/>
                    <w:right w:val="single" w:color="auto" w:sz="4" w:space="0"/>
                  </w:tcBorders>
                  <w:vAlign w:val="center"/>
                </w:tcPr>
                <w:p>
                  <w:pPr>
                    <w:pStyle w:val="84"/>
                  </w:pPr>
                  <w:r>
                    <w:rPr>
                      <w:rFonts w:hint="eastAsia"/>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4" w:hRule="atLeast"/>
              </w:trPr>
              <w:tc>
                <w:tcPr>
                  <w:tcW w:w="696" w:type="pct"/>
                  <w:tcBorders>
                    <w:top w:val="single" w:color="auto" w:sz="4" w:space="0"/>
                    <w:left w:val="single" w:color="auto" w:sz="4" w:space="0"/>
                    <w:right w:val="single" w:color="auto" w:sz="4" w:space="0"/>
                  </w:tcBorders>
                  <w:vAlign w:val="center"/>
                </w:tcPr>
                <w:p>
                  <w:pPr>
                    <w:pStyle w:val="84"/>
                  </w:pPr>
                  <w:r>
                    <w:rPr>
                      <w:rFonts w:hint="eastAsia"/>
                    </w:rPr>
                    <w:t>固体废物</w:t>
                  </w:r>
                </w:p>
              </w:tc>
              <w:tc>
                <w:tcPr>
                  <w:tcW w:w="804" w:type="pct"/>
                  <w:tcBorders>
                    <w:top w:val="single" w:color="auto" w:sz="4" w:space="0"/>
                    <w:left w:val="single" w:color="auto" w:sz="4" w:space="0"/>
                    <w:right w:val="single" w:color="auto" w:sz="4" w:space="0"/>
                  </w:tcBorders>
                  <w:vAlign w:val="center"/>
                </w:tcPr>
                <w:p>
                  <w:pPr>
                    <w:pStyle w:val="84"/>
                  </w:pPr>
                  <w:r>
                    <w:rPr>
                      <w:rFonts w:hint="eastAsia"/>
                    </w:rPr>
                    <w:t>危险废物</w:t>
                  </w:r>
                </w:p>
              </w:tc>
              <w:tc>
                <w:tcPr>
                  <w:tcW w:w="1853" w:type="pct"/>
                  <w:tcBorders>
                    <w:top w:val="single" w:color="auto" w:sz="4" w:space="0"/>
                    <w:left w:val="single" w:color="auto" w:sz="4" w:space="0"/>
                    <w:right w:val="single" w:color="auto" w:sz="4" w:space="0"/>
                  </w:tcBorders>
                  <w:vAlign w:val="center"/>
                </w:tcPr>
                <w:p>
                  <w:pPr>
                    <w:pStyle w:val="84"/>
                  </w:pPr>
                  <w:r>
                    <w:rPr>
                      <w:rFonts w:hint="eastAsia"/>
                      <w:bCs/>
                    </w:rPr>
                    <w:t>依托现有工程危废库</w:t>
                  </w:r>
                </w:p>
              </w:tc>
              <w:tc>
                <w:tcPr>
                  <w:tcW w:w="1647" w:type="pct"/>
                  <w:tcBorders>
                    <w:top w:val="single" w:color="auto" w:sz="4" w:space="0"/>
                    <w:left w:val="single" w:color="auto" w:sz="4" w:space="0"/>
                    <w:right w:val="single" w:color="auto" w:sz="4" w:space="0"/>
                  </w:tcBorders>
                  <w:vAlign w:val="center"/>
                </w:tcPr>
                <w:p>
                  <w:pPr>
                    <w:pStyle w:val="84"/>
                  </w:pPr>
                  <w:r>
                    <w:rPr>
                      <w:rFonts w:hint="eastAsia"/>
                      <w:bC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 w:hRule="atLeast"/>
              </w:trPr>
              <w:tc>
                <w:tcPr>
                  <w:tcW w:w="1500" w:type="pct"/>
                  <w:gridSpan w:val="2"/>
                  <w:tcBorders>
                    <w:top w:val="single" w:color="auto" w:sz="4" w:space="0"/>
                    <w:left w:val="single" w:color="auto" w:sz="4" w:space="0"/>
                    <w:bottom w:val="single" w:color="auto" w:sz="4" w:space="0"/>
                    <w:right w:val="single" w:color="auto" w:sz="4" w:space="0"/>
                  </w:tcBorders>
                  <w:vAlign w:val="center"/>
                </w:tcPr>
                <w:p>
                  <w:pPr>
                    <w:pStyle w:val="84"/>
                  </w:pPr>
                  <w:r>
                    <w:rPr>
                      <w:rFonts w:hint="eastAsia"/>
                    </w:rPr>
                    <w:t>合计</w:t>
                  </w:r>
                </w:p>
              </w:tc>
              <w:tc>
                <w:tcPr>
                  <w:tcW w:w="3500" w:type="pct"/>
                  <w:gridSpan w:val="2"/>
                  <w:tcBorders>
                    <w:top w:val="single" w:color="auto" w:sz="4" w:space="0"/>
                    <w:left w:val="single" w:color="auto" w:sz="4" w:space="0"/>
                    <w:bottom w:val="single" w:color="auto" w:sz="4" w:space="0"/>
                    <w:right w:val="single" w:color="auto" w:sz="4" w:space="0"/>
                  </w:tcBorders>
                  <w:vAlign w:val="center"/>
                </w:tcPr>
                <w:p>
                  <w:pPr>
                    <w:pStyle w:val="84"/>
                  </w:pPr>
                  <w:r>
                    <w:t>15</w:t>
                  </w:r>
                  <w:r>
                    <w:rPr>
                      <w:rFonts w:hint="eastAsia"/>
                    </w:rPr>
                    <w:t>（万元）</w:t>
                  </w:r>
                </w:p>
              </w:tc>
            </w:tr>
            <w:bookmarkEnd w:id="328"/>
            <w:bookmarkEnd w:id="329"/>
          </w:tbl>
          <w:p>
            <w:pPr>
              <w:pStyle w:val="7"/>
            </w:pPr>
          </w:p>
        </w:tc>
      </w:tr>
    </w:tbl>
    <w:p>
      <w:pPr>
        <w:adjustRightInd w:val="0"/>
        <w:snapToGrid w:val="0"/>
        <w:spacing w:line="360" w:lineRule="auto"/>
        <w:rPr>
          <w:rFonts w:ascii="宋体" w:cs="宋体"/>
          <w:b/>
          <w:kern w:val="0"/>
          <w:sz w:val="28"/>
          <w:szCs w:val="28"/>
        </w:rPr>
        <w:sectPr>
          <w:pgSz w:w="11907" w:h="16840"/>
          <w:pgMar w:top="1701" w:right="1531" w:bottom="1701" w:left="1531" w:header="851" w:footer="851" w:gutter="0"/>
          <w:cols w:space="720" w:num="1"/>
          <w:docGrid w:linePitch="312" w:charSpace="0"/>
        </w:sectPr>
      </w:pPr>
    </w:p>
    <w:p>
      <w:pPr>
        <w:pStyle w:val="90"/>
        <w:rPr>
          <w:rFonts w:hint="default"/>
          <w:color w:val="auto"/>
        </w:rPr>
      </w:pPr>
      <w:bookmarkStart w:id="330" w:name="_Hlk54167917"/>
      <w:r>
        <w:rPr>
          <w:color w:val="auto"/>
        </w:rPr>
        <w:t>环境保护措施监督检查清单</w:t>
      </w:r>
      <w:bookmarkEnd w:id="330"/>
    </w:p>
    <w:tbl>
      <w:tblPr>
        <w:tblStyle w:val="23"/>
        <w:tblW w:w="880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45"/>
        <w:gridCol w:w="1417"/>
        <w:gridCol w:w="1701"/>
        <w:gridCol w:w="2126"/>
        <w:gridCol w:w="201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545" w:type="dxa"/>
            <w:tcBorders>
              <w:top w:val="single" w:color="auto" w:sz="12" w:space="0"/>
              <w:left w:val="single" w:color="auto" w:sz="12" w:space="0"/>
              <w:bottom w:val="single" w:color="auto" w:sz="4" w:space="0"/>
              <w:tl2br w:val="single" w:color="auto" w:sz="4" w:space="0"/>
            </w:tcBorders>
          </w:tcPr>
          <w:p>
            <w:pPr>
              <w:pStyle w:val="67"/>
              <w:rPr>
                <w:sz w:val="24"/>
              </w:rPr>
            </w:pPr>
            <w:r>
              <w:rPr>
                <w:rFonts w:hint="eastAsia"/>
                <w:sz w:val="24"/>
              </w:rPr>
              <w:t>内容</w:t>
            </w:r>
          </w:p>
          <w:p>
            <w:pPr>
              <w:pStyle w:val="67"/>
              <w:rPr>
                <w:sz w:val="24"/>
              </w:rPr>
            </w:pPr>
          </w:p>
          <w:p>
            <w:pPr>
              <w:pStyle w:val="67"/>
              <w:rPr>
                <w:sz w:val="24"/>
              </w:rPr>
            </w:pPr>
            <w:r>
              <w:rPr>
                <w:rFonts w:hint="eastAsia"/>
                <w:sz w:val="24"/>
              </w:rPr>
              <w:t>要素</w:t>
            </w:r>
          </w:p>
        </w:tc>
        <w:tc>
          <w:tcPr>
            <w:tcW w:w="1417" w:type="dxa"/>
            <w:tcBorders>
              <w:top w:val="single" w:color="auto" w:sz="12" w:space="0"/>
              <w:bottom w:val="single" w:color="auto" w:sz="4" w:space="0"/>
            </w:tcBorders>
            <w:vAlign w:val="center"/>
          </w:tcPr>
          <w:p>
            <w:pPr>
              <w:pStyle w:val="67"/>
              <w:rPr>
                <w:sz w:val="24"/>
                <w:lang w:eastAsia="zh-CN"/>
              </w:rPr>
            </w:pPr>
            <w:r>
              <w:rPr>
                <w:rFonts w:hint="eastAsia"/>
                <w:sz w:val="24"/>
                <w:lang w:eastAsia="zh-CN"/>
              </w:rPr>
              <w:t>排放口(编号、名称)/污染源</w:t>
            </w:r>
          </w:p>
        </w:tc>
        <w:tc>
          <w:tcPr>
            <w:tcW w:w="1701" w:type="dxa"/>
            <w:tcBorders>
              <w:top w:val="single" w:color="auto" w:sz="12" w:space="0"/>
              <w:bottom w:val="single" w:color="auto" w:sz="4" w:space="0"/>
            </w:tcBorders>
            <w:vAlign w:val="center"/>
          </w:tcPr>
          <w:p>
            <w:pPr>
              <w:pStyle w:val="67"/>
              <w:rPr>
                <w:sz w:val="24"/>
              </w:rPr>
            </w:pPr>
            <w:r>
              <w:rPr>
                <w:rFonts w:hint="eastAsia"/>
                <w:sz w:val="24"/>
              </w:rPr>
              <w:t>污染物项目</w:t>
            </w:r>
          </w:p>
        </w:tc>
        <w:tc>
          <w:tcPr>
            <w:tcW w:w="2126" w:type="dxa"/>
            <w:tcBorders>
              <w:top w:val="single" w:color="auto" w:sz="12" w:space="0"/>
              <w:bottom w:val="single" w:color="auto" w:sz="4" w:space="0"/>
            </w:tcBorders>
            <w:vAlign w:val="center"/>
          </w:tcPr>
          <w:p>
            <w:pPr>
              <w:pStyle w:val="67"/>
              <w:rPr>
                <w:sz w:val="24"/>
              </w:rPr>
            </w:pPr>
            <w:r>
              <w:rPr>
                <w:rFonts w:hint="eastAsia"/>
                <w:sz w:val="24"/>
              </w:rPr>
              <w:t>环境保护措施</w:t>
            </w:r>
          </w:p>
        </w:tc>
        <w:tc>
          <w:tcPr>
            <w:tcW w:w="2011" w:type="dxa"/>
            <w:tcBorders>
              <w:top w:val="single" w:color="auto" w:sz="12" w:space="0"/>
              <w:bottom w:val="single" w:color="auto" w:sz="4" w:space="0"/>
              <w:right w:val="single" w:color="auto" w:sz="12" w:space="0"/>
            </w:tcBorders>
            <w:vAlign w:val="center"/>
          </w:tcPr>
          <w:p>
            <w:pPr>
              <w:pStyle w:val="67"/>
              <w:rPr>
                <w:sz w:val="24"/>
              </w:rPr>
            </w:pPr>
            <w:r>
              <w:rPr>
                <w:rFonts w:hint="eastAsia"/>
                <w:sz w:val="24"/>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71" w:hRule="atLeast"/>
          <w:jc w:val="center"/>
        </w:trPr>
        <w:tc>
          <w:tcPr>
            <w:tcW w:w="1545" w:type="dxa"/>
            <w:tcBorders>
              <w:left w:val="single" w:color="auto" w:sz="12" w:space="0"/>
              <w:tl2br w:val="nil"/>
            </w:tcBorders>
            <w:vAlign w:val="center"/>
          </w:tcPr>
          <w:p>
            <w:pPr>
              <w:pStyle w:val="67"/>
              <w:rPr>
                <w:sz w:val="24"/>
              </w:rPr>
            </w:pPr>
            <w:r>
              <w:rPr>
                <w:rFonts w:hint="eastAsia"/>
                <w:sz w:val="24"/>
                <w:lang w:eastAsia="zh-CN"/>
              </w:rPr>
              <w:t>水环境</w:t>
            </w:r>
          </w:p>
        </w:tc>
        <w:tc>
          <w:tcPr>
            <w:tcW w:w="1417" w:type="dxa"/>
            <w:tcBorders>
              <w:top w:val="single" w:color="auto" w:sz="4" w:space="0"/>
              <w:bottom w:val="single" w:color="auto" w:sz="4" w:space="0"/>
            </w:tcBorders>
            <w:vAlign w:val="center"/>
          </w:tcPr>
          <w:p>
            <w:pPr>
              <w:pStyle w:val="67"/>
              <w:rPr>
                <w:sz w:val="24"/>
              </w:rPr>
            </w:pPr>
            <w:r>
              <w:rPr>
                <w:rFonts w:hint="eastAsia"/>
                <w:sz w:val="24"/>
                <w:lang w:eastAsia="zh-CN"/>
              </w:rPr>
              <w:t>生产废水</w:t>
            </w:r>
          </w:p>
        </w:tc>
        <w:tc>
          <w:tcPr>
            <w:tcW w:w="1701" w:type="dxa"/>
            <w:vAlign w:val="center"/>
          </w:tcPr>
          <w:p>
            <w:pPr>
              <w:pStyle w:val="67"/>
              <w:rPr>
                <w:sz w:val="24"/>
                <w:lang w:eastAsia="zh-CN"/>
              </w:rPr>
            </w:pPr>
            <w:r>
              <w:rPr>
                <w:rFonts w:hint="eastAsia"/>
                <w:sz w:val="24"/>
                <w:lang w:eastAsia="zh-CN"/>
              </w:rPr>
              <w:t>/</w:t>
            </w:r>
          </w:p>
        </w:tc>
        <w:tc>
          <w:tcPr>
            <w:tcW w:w="2126" w:type="dxa"/>
            <w:vAlign w:val="center"/>
          </w:tcPr>
          <w:p>
            <w:pPr>
              <w:pStyle w:val="67"/>
              <w:rPr>
                <w:bCs/>
                <w:sz w:val="24"/>
              </w:rPr>
            </w:pPr>
            <w:r>
              <w:rPr>
                <w:rFonts w:hint="eastAsia"/>
                <w:bCs/>
                <w:sz w:val="24"/>
                <w:lang w:eastAsia="zh-CN"/>
              </w:rPr>
              <w:t>循环使用，不外排</w:t>
            </w:r>
          </w:p>
        </w:tc>
        <w:tc>
          <w:tcPr>
            <w:tcW w:w="2011" w:type="dxa"/>
            <w:tcBorders>
              <w:right w:val="single" w:color="auto" w:sz="12" w:space="0"/>
            </w:tcBorders>
            <w:vAlign w:val="center"/>
          </w:tcPr>
          <w:p>
            <w:pPr>
              <w:pStyle w:val="67"/>
              <w:rPr>
                <w:bCs/>
                <w:sz w:val="24"/>
                <w:lang w:eastAsia="zh-CN"/>
              </w:rPr>
            </w:pPr>
            <w:r>
              <w:rPr>
                <w:rFonts w:hint="eastAsia"/>
                <w:bCs/>
                <w:sz w:val="24"/>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545" w:type="dxa"/>
            <w:tcBorders>
              <w:top w:val="single" w:color="auto" w:sz="4" w:space="0"/>
              <w:left w:val="single" w:color="auto" w:sz="12" w:space="0"/>
              <w:bottom w:val="single" w:color="auto" w:sz="4" w:space="0"/>
            </w:tcBorders>
            <w:vAlign w:val="center"/>
          </w:tcPr>
          <w:p>
            <w:pPr>
              <w:pStyle w:val="67"/>
              <w:rPr>
                <w:sz w:val="24"/>
              </w:rPr>
            </w:pPr>
            <w:r>
              <w:rPr>
                <w:rFonts w:hint="eastAsia"/>
                <w:sz w:val="24"/>
              </w:rPr>
              <w:t>声环境</w:t>
            </w:r>
          </w:p>
        </w:tc>
        <w:tc>
          <w:tcPr>
            <w:tcW w:w="1417" w:type="dxa"/>
            <w:tcBorders>
              <w:top w:val="single" w:color="auto" w:sz="4" w:space="0"/>
              <w:bottom w:val="single" w:color="auto" w:sz="4" w:space="0"/>
            </w:tcBorders>
            <w:vAlign w:val="center"/>
          </w:tcPr>
          <w:p>
            <w:pPr>
              <w:pStyle w:val="67"/>
              <w:rPr>
                <w:sz w:val="24"/>
              </w:rPr>
            </w:pPr>
            <w:r>
              <w:rPr>
                <w:rFonts w:hint="eastAsia"/>
                <w:sz w:val="24"/>
              </w:rPr>
              <w:t>设备噪声</w:t>
            </w:r>
          </w:p>
        </w:tc>
        <w:tc>
          <w:tcPr>
            <w:tcW w:w="1701" w:type="dxa"/>
            <w:tcBorders>
              <w:top w:val="single" w:color="auto" w:sz="4" w:space="0"/>
              <w:bottom w:val="single" w:color="auto" w:sz="4" w:space="0"/>
            </w:tcBorders>
            <w:vAlign w:val="center"/>
          </w:tcPr>
          <w:p>
            <w:pPr>
              <w:pStyle w:val="67"/>
              <w:rPr>
                <w:sz w:val="24"/>
              </w:rPr>
            </w:pPr>
            <w:r>
              <w:rPr>
                <w:rFonts w:hint="eastAsia"/>
                <w:sz w:val="24"/>
              </w:rPr>
              <w:t>噪声</w:t>
            </w:r>
          </w:p>
        </w:tc>
        <w:tc>
          <w:tcPr>
            <w:tcW w:w="2126" w:type="dxa"/>
            <w:tcBorders>
              <w:top w:val="single" w:color="auto" w:sz="4" w:space="0"/>
              <w:bottom w:val="single" w:color="auto" w:sz="4" w:space="0"/>
            </w:tcBorders>
            <w:vAlign w:val="center"/>
          </w:tcPr>
          <w:p>
            <w:pPr>
              <w:pStyle w:val="67"/>
              <w:rPr>
                <w:sz w:val="24"/>
                <w:lang w:eastAsia="zh-CN"/>
              </w:rPr>
            </w:pPr>
            <w:bookmarkStart w:id="331" w:name="_Hlk201586381"/>
            <w:r>
              <w:rPr>
                <w:bCs/>
                <w:sz w:val="24"/>
                <w:lang w:eastAsia="zh-CN"/>
              </w:rPr>
              <w:t>高噪声设备采取厂房隔声、</w:t>
            </w:r>
            <w:r>
              <w:rPr>
                <w:rFonts w:hint="eastAsia"/>
                <w:bCs/>
                <w:sz w:val="24"/>
                <w:lang w:eastAsia="zh-CN"/>
              </w:rPr>
              <w:t>减振</w:t>
            </w:r>
            <w:r>
              <w:rPr>
                <w:bCs/>
                <w:sz w:val="24"/>
                <w:lang w:eastAsia="zh-CN"/>
              </w:rPr>
              <w:t>等措施</w:t>
            </w:r>
            <w:bookmarkEnd w:id="331"/>
          </w:p>
        </w:tc>
        <w:tc>
          <w:tcPr>
            <w:tcW w:w="2011" w:type="dxa"/>
            <w:tcBorders>
              <w:top w:val="single" w:color="auto" w:sz="4" w:space="0"/>
              <w:bottom w:val="single" w:color="auto" w:sz="4" w:space="0"/>
              <w:right w:val="single" w:color="auto" w:sz="12" w:space="0"/>
            </w:tcBorders>
            <w:vAlign w:val="center"/>
          </w:tcPr>
          <w:p>
            <w:pPr>
              <w:pStyle w:val="67"/>
              <w:rPr>
                <w:sz w:val="24"/>
                <w:lang w:eastAsia="zh-CN"/>
              </w:rPr>
            </w:pPr>
            <w:r>
              <w:rPr>
                <w:rFonts w:hint="eastAsia"/>
                <w:bCs/>
                <w:sz w:val="24"/>
                <w:lang w:eastAsia="zh-CN"/>
              </w:rPr>
              <w:t>《工业企业厂界环境噪声排放标准》（G</w:t>
            </w:r>
            <w:r>
              <w:rPr>
                <w:bCs/>
                <w:sz w:val="24"/>
                <w:lang w:eastAsia="zh-CN"/>
              </w:rPr>
              <w:t xml:space="preserve">B </w:t>
            </w:r>
            <w:r>
              <w:rPr>
                <w:rFonts w:hint="eastAsia"/>
                <w:bCs/>
                <w:sz w:val="24"/>
                <w:lang w:eastAsia="zh-CN"/>
              </w:rPr>
              <w:t>12348-2008）3类标准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545" w:type="dxa"/>
            <w:tcBorders>
              <w:top w:val="single" w:color="auto" w:sz="4" w:space="0"/>
              <w:left w:val="single" w:color="auto" w:sz="12" w:space="0"/>
              <w:bottom w:val="single" w:color="auto" w:sz="4" w:space="0"/>
            </w:tcBorders>
            <w:vAlign w:val="center"/>
          </w:tcPr>
          <w:p>
            <w:pPr>
              <w:pStyle w:val="67"/>
              <w:rPr>
                <w:sz w:val="24"/>
              </w:rPr>
            </w:pPr>
            <w:r>
              <w:rPr>
                <w:rFonts w:hint="eastAsia"/>
                <w:sz w:val="24"/>
              </w:rPr>
              <w:t>电磁辐射</w:t>
            </w:r>
          </w:p>
        </w:tc>
        <w:tc>
          <w:tcPr>
            <w:tcW w:w="7255" w:type="dxa"/>
            <w:gridSpan w:val="4"/>
            <w:tcBorders>
              <w:top w:val="single" w:color="auto" w:sz="4" w:space="0"/>
              <w:bottom w:val="single" w:color="auto" w:sz="4" w:space="0"/>
              <w:right w:val="single" w:color="auto" w:sz="12" w:space="0"/>
            </w:tcBorders>
            <w:vAlign w:val="center"/>
          </w:tcPr>
          <w:p>
            <w:pPr>
              <w:pStyle w:val="67"/>
              <w:rPr>
                <w:sz w:val="24"/>
              </w:rPr>
            </w:pPr>
            <w:r>
              <w:rPr>
                <w:rFonts w:hint="eastAsia"/>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545" w:type="dxa"/>
            <w:tcBorders>
              <w:top w:val="single" w:color="auto" w:sz="4" w:space="0"/>
              <w:left w:val="single" w:color="auto" w:sz="12" w:space="0"/>
              <w:bottom w:val="single" w:color="auto" w:sz="4" w:space="0"/>
            </w:tcBorders>
            <w:vAlign w:val="center"/>
          </w:tcPr>
          <w:p>
            <w:pPr>
              <w:pStyle w:val="67"/>
              <w:rPr>
                <w:sz w:val="24"/>
              </w:rPr>
            </w:pPr>
            <w:r>
              <w:rPr>
                <w:rFonts w:hint="eastAsia"/>
                <w:sz w:val="24"/>
              </w:rPr>
              <w:t>固体废物</w:t>
            </w:r>
          </w:p>
        </w:tc>
        <w:tc>
          <w:tcPr>
            <w:tcW w:w="7255" w:type="dxa"/>
            <w:gridSpan w:val="4"/>
            <w:tcBorders>
              <w:top w:val="single" w:color="auto" w:sz="4" w:space="0"/>
              <w:bottom w:val="single" w:color="auto" w:sz="4" w:space="0"/>
              <w:right w:val="single" w:color="auto" w:sz="12" w:space="0"/>
            </w:tcBorders>
            <w:vAlign w:val="center"/>
          </w:tcPr>
          <w:p>
            <w:pPr>
              <w:pStyle w:val="67"/>
              <w:rPr>
                <w:sz w:val="24"/>
                <w:lang w:eastAsia="zh-CN"/>
              </w:rPr>
            </w:pPr>
            <w:bookmarkStart w:id="332" w:name="_Hlk201586398"/>
            <w:r>
              <w:rPr>
                <w:rFonts w:hint="eastAsia"/>
                <w:bCs/>
                <w:sz w:val="24"/>
                <w:lang w:eastAsia="zh-CN"/>
              </w:rPr>
              <w:t>废机油、废机油桶暂存于危废暂存间，定期交由有资质单位处理</w:t>
            </w:r>
            <w:bookmarkEnd w:id="332"/>
            <w:r>
              <w:rPr>
                <w:rFonts w:hint="eastAsia"/>
                <w:bCs/>
                <w:sz w:val="24"/>
                <w:lang w:eastAsia="zh-CN"/>
              </w:rPr>
              <w:t>；废水循环池底泥定期清理，回用于生产。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545" w:type="dxa"/>
            <w:tcBorders>
              <w:top w:val="single" w:color="auto" w:sz="4" w:space="0"/>
              <w:left w:val="single" w:color="auto" w:sz="12" w:space="0"/>
              <w:bottom w:val="single" w:color="auto" w:sz="4" w:space="0"/>
            </w:tcBorders>
            <w:vAlign w:val="center"/>
          </w:tcPr>
          <w:p>
            <w:pPr>
              <w:pStyle w:val="67"/>
              <w:rPr>
                <w:sz w:val="24"/>
              </w:rPr>
            </w:pPr>
            <w:r>
              <w:rPr>
                <w:rFonts w:hint="eastAsia"/>
                <w:sz w:val="24"/>
              </w:rPr>
              <w:t>土壤及地下水污染防治措施</w:t>
            </w:r>
          </w:p>
        </w:tc>
        <w:tc>
          <w:tcPr>
            <w:tcW w:w="7255" w:type="dxa"/>
            <w:gridSpan w:val="4"/>
            <w:tcBorders>
              <w:top w:val="single" w:color="auto" w:sz="4" w:space="0"/>
              <w:bottom w:val="single" w:color="auto" w:sz="4" w:space="0"/>
              <w:right w:val="single" w:color="auto" w:sz="12" w:space="0"/>
            </w:tcBorders>
            <w:vAlign w:val="center"/>
          </w:tcPr>
          <w:p>
            <w:pPr>
              <w:pStyle w:val="81"/>
              <w:ind w:firstLine="480"/>
              <w:rPr>
                <w:bCs/>
              </w:rPr>
            </w:pPr>
            <w:r>
              <w:rPr>
                <w:bCs/>
              </w:rPr>
              <w:t>本项目将严格按照</w:t>
            </w:r>
            <w:r>
              <w:rPr>
                <w:rFonts w:hint="eastAsia"/>
                <w:bCs/>
              </w:rPr>
              <w:t>“</w:t>
            </w:r>
            <w:r>
              <w:rPr>
                <w:bCs/>
              </w:rPr>
              <w:t>源头控制、分区防控、污染监控、应急响应</w:t>
            </w:r>
            <w:r>
              <w:rPr>
                <w:rFonts w:hint="eastAsia"/>
                <w:bCs/>
              </w:rPr>
              <w:t>”</w:t>
            </w:r>
            <w:r>
              <w:rPr>
                <w:bCs/>
              </w:rPr>
              <w:t>的原则采取相应环境保护措施及管理措施</w:t>
            </w:r>
            <w:r>
              <w:rPr>
                <w:rFonts w:hint="eastAsia"/>
                <w:bCs/>
              </w:rPr>
              <w:t>。</w:t>
            </w:r>
            <w:bookmarkStart w:id="333" w:name="_Hlk201586474"/>
            <w:r>
              <w:rPr>
                <w:rFonts w:hint="eastAsia"/>
                <w:bCs/>
              </w:rPr>
              <w:t>本项目危废利用现有工程危废暂存间贮存，</w:t>
            </w:r>
            <w:r>
              <w:rPr>
                <w:bCs/>
              </w:rPr>
              <w:t>危废库防渗层采用2mm厚高密度聚乙烯膜+20mm厚水泥砂浆+防水防腐涂料，渗透系数≤10</w:t>
            </w:r>
            <w:r>
              <w:rPr>
                <w:bCs/>
                <w:vertAlign w:val="superscript"/>
              </w:rPr>
              <w:t>-10</w:t>
            </w:r>
            <w:r>
              <w:rPr>
                <w:bCs/>
              </w:rPr>
              <w:t>cm/s；</w:t>
            </w:r>
            <w:bookmarkEnd w:id="333"/>
            <w:r>
              <w:rPr>
                <w:rFonts w:hint="eastAsia"/>
              </w:rPr>
              <w:t>现有工程成品库及成品存放区，</w:t>
            </w:r>
            <w:r>
              <w:rPr>
                <w:bCs/>
              </w:rPr>
              <w:t>采用抗渗混凝土+防水砂浆，渗透系数≤1×10</w:t>
            </w:r>
            <w:r>
              <w:rPr>
                <w:bCs/>
                <w:vertAlign w:val="superscript"/>
              </w:rPr>
              <w:t>-7</w:t>
            </w:r>
            <w:r>
              <w:rPr>
                <w:bCs/>
              </w:rPr>
              <w:t>cm/s</w:t>
            </w:r>
            <w:r>
              <w:rPr>
                <w:rFonts w:hint="eastAsia"/>
                <w:bCs/>
              </w:rPr>
              <w:t>；</w:t>
            </w:r>
            <w:r>
              <w:rPr>
                <w:rFonts w:hint="eastAsia"/>
              </w:rPr>
              <w:t>新建废水循环水池为一般防渗区，</w:t>
            </w:r>
            <w:r>
              <w:rPr>
                <w:szCs w:val="21"/>
              </w:rPr>
              <w:t>要求：等效黏土防渗层Mb≥1.5m，K≤1×10</w:t>
            </w:r>
            <w:r>
              <w:rPr>
                <w:szCs w:val="21"/>
                <w:vertAlign w:val="superscript"/>
              </w:rPr>
              <w:t>-7</w:t>
            </w:r>
            <w:r>
              <w:rPr>
                <w:szCs w:val="21"/>
              </w:rPr>
              <w:t>cm/s。</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545" w:type="dxa"/>
            <w:tcBorders>
              <w:top w:val="single" w:color="auto" w:sz="4" w:space="0"/>
              <w:left w:val="single" w:color="auto" w:sz="12" w:space="0"/>
              <w:bottom w:val="single" w:color="auto" w:sz="4" w:space="0"/>
            </w:tcBorders>
            <w:vAlign w:val="center"/>
          </w:tcPr>
          <w:p>
            <w:pPr>
              <w:pStyle w:val="67"/>
              <w:rPr>
                <w:sz w:val="24"/>
              </w:rPr>
            </w:pPr>
            <w:r>
              <w:rPr>
                <w:rFonts w:hint="eastAsia"/>
                <w:sz w:val="24"/>
              </w:rPr>
              <w:t>生态保护措施</w:t>
            </w:r>
          </w:p>
        </w:tc>
        <w:tc>
          <w:tcPr>
            <w:tcW w:w="7255" w:type="dxa"/>
            <w:gridSpan w:val="4"/>
            <w:tcBorders>
              <w:top w:val="single" w:color="auto" w:sz="4" w:space="0"/>
              <w:bottom w:val="single" w:color="auto" w:sz="4" w:space="0"/>
              <w:right w:val="single" w:color="auto" w:sz="12" w:space="0"/>
            </w:tcBorders>
            <w:vAlign w:val="center"/>
          </w:tcPr>
          <w:p>
            <w:pPr>
              <w:pStyle w:val="67"/>
              <w:rPr>
                <w:sz w:val="24"/>
              </w:rPr>
            </w:pPr>
            <w:r>
              <w:rPr>
                <w:rFonts w:hint="eastAsia"/>
                <w:bCs/>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545" w:type="dxa"/>
            <w:tcBorders>
              <w:top w:val="single" w:color="auto" w:sz="4" w:space="0"/>
              <w:left w:val="single" w:color="auto" w:sz="12" w:space="0"/>
              <w:bottom w:val="single" w:color="auto" w:sz="4" w:space="0"/>
            </w:tcBorders>
            <w:vAlign w:val="center"/>
          </w:tcPr>
          <w:p>
            <w:pPr>
              <w:pStyle w:val="67"/>
              <w:rPr>
                <w:spacing w:val="-8"/>
                <w:sz w:val="24"/>
              </w:rPr>
            </w:pPr>
            <w:r>
              <w:rPr>
                <w:rFonts w:hint="eastAsia"/>
                <w:spacing w:val="-8"/>
                <w:sz w:val="24"/>
              </w:rPr>
              <w:t>环境风险</w:t>
            </w:r>
          </w:p>
          <w:p>
            <w:pPr>
              <w:pStyle w:val="67"/>
              <w:rPr>
                <w:spacing w:val="-8"/>
                <w:sz w:val="24"/>
              </w:rPr>
            </w:pPr>
            <w:r>
              <w:rPr>
                <w:rFonts w:hint="eastAsia"/>
                <w:spacing w:val="-8"/>
                <w:sz w:val="24"/>
              </w:rPr>
              <w:t>防范措施</w:t>
            </w:r>
          </w:p>
        </w:tc>
        <w:tc>
          <w:tcPr>
            <w:tcW w:w="7255" w:type="dxa"/>
            <w:gridSpan w:val="4"/>
            <w:tcBorders>
              <w:top w:val="single" w:color="auto" w:sz="4" w:space="0"/>
              <w:bottom w:val="single" w:color="auto" w:sz="4" w:space="0"/>
              <w:right w:val="single" w:color="auto" w:sz="12" w:space="0"/>
            </w:tcBorders>
            <w:vAlign w:val="center"/>
          </w:tcPr>
          <w:p>
            <w:pPr>
              <w:pStyle w:val="67"/>
              <w:rPr>
                <w:sz w:val="24"/>
                <w:lang w:eastAsia="zh-CN"/>
              </w:rPr>
            </w:pPr>
            <w:r>
              <w:rPr>
                <w:rFonts w:hint="eastAsia" w:ascii="宋体" w:hAnsi="宋体" w:cs="宋体"/>
                <w:sz w:val="24"/>
                <w:lang w:eastAsia="zh-CN"/>
              </w:rPr>
              <w:t>①</w:t>
            </w:r>
            <w:bookmarkStart w:id="334" w:name="_Hlk201586583"/>
            <w:r>
              <w:rPr>
                <w:sz w:val="24"/>
                <w:lang w:eastAsia="zh-CN"/>
              </w:rPr>
              <w:t>废机油用密封容器收集并设置在托盘内，确保托盘能够及时收集泄漏的废润滑油，防止其泄漏进入厂外环境。</w:t>
            </w:r>
          </w:p>
          <w:p>
            <w:pPr>
              <w:pStyle w:val="67"/>
              <w:rPr>
                <w:sz w:val="24"/>
                <w:lang w:eastAsia="zh-CN"/>
              </w:rPr>
            </w:pPr>
            <w:r>
              <w:rPr>
                <w:rFonts w:ascii="Cambria Math" w:hAnsi="Cambria Math" w:cs="Cambria Math"/>
                <w:sz w:val="24"/>
                <w:lang w:eastAsia="zh-CN"/>
              </w:rPr>
              <w:t>②</w:t>
            </w:r>
            <w:r>
              <w:rPr>
                <w:sz w:val="24"/>
                <w:lang w:eastAsia="zh-CN"/>
              </w:rPr>
              <w:t>危废暂存间内做好重点防渗，必须符合《危险废物贮存污染控制标准》（GB18597-2023）要求</w:t>
            </w:r>
          </w:p>
          <w:p>
            <w:pPr>
              <w:pStyle w:val="67"/>
              <w:rPr>
                <w:sz w:val="24"/>
                <w:lang w:eastAsia="zh-CN"/>
              </w:rPr>
            </w:pPr>
            <w:r>
              <w:rPr>
                <w:rFonts w:ascii="Cambria Math" w:hAnsi="Cambria Math" w:cs="Cambria Math"/>
                <w:sz w:val="24"/>
                <w:lang w:eastAsia="zh-CN"/>
              </w:rPr>
              <w:t>③</w:t>
            </w:r>
            <w:r>
              <w:rPr>
                <w:sz w:val="24"/>
                <w:lang w:eastAsia="zh-CN"/>
              </w:rPr>
              <w:t>必须组织专门人员每天每班多次进行周期性巡回检查，加强危废暂存间的安全运行管理，防患于未然。</w:t>
            </w:r>
          </w:p>
          <w:p>
            <w:pPr>
              <w:pStyle w:val="67"/>
              <w:rPr>
                <w:sz w:val="24"/>
                <w:lang w:eastAsia="zh-CN"/>
              </w:rPr>
            </w:pPr>
            <w:r>
              <w:rPr>
                <w:rFonts w:hint="eastAsia" w:ascii="宋体" w:hAnsi="宋体" w:cs="宋体"/>
                <w:sz w:val="24"/>
                <w:lang w:eastAsia="zh-CN"/>
              </w:rPr>
              <w:t>④</w:t>
            </w:r>
            <w:r>
              <w:rPr>
                <w:sz w:val="24"/>
                <w:lang w:eastAsia="zh-CN"/>
              </w:rPr>
              <w:t>危废间应挂有提醒人们注意的警示标志，并配置一定数量的灭火器。</w:t>
            </w:r>
          </w:p>
          <w:p>
            <w:pPr>
              <w:pStyle w:val="67"/>
              <w:rPr>
                <w:sz w:val="24"/>
                <w:lang w:eastAsia="zh-CN"/>
              </w:rPr>
            </w:pPr>
            <w:r>
              <w:rPr>
                <w:rFonts w:hint="eastAsia" w:ascii="宋体" w:hAnsi="宋体" w:cs="宋体"/>
                <w:sz w:val="24"/>
                <w:lang w:eastAsia="zh-CN"/>
              </w:rPr>
              <w:t>⑤</w:t>
            </w:r>
            <w:r>
              <w:rPr>
                <w:sz w:val="24"/>
                <w:lang w:eastAsia="zh-CN"/>
              </w:rPr>
              <w:t>建设单位委托处理单位时其须有相应的处理类别，转移时交由有资质单位运输。</w:t>
            </w:r>
            <w:bookmarkEnd w:id="334"/>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545" w:type="dxa"/>
            <w:tcBorders>
              <w:top w:val="single" w:color="auto" w:sz="4" w:space="0"/>
              <w:left w:val="single" w:color="auto" w:sz="12" w:space="0"/>
              <w:bottom w:val="single" w:color="auto" w:sz="12" w:space="0"/>
              <w:right w:val="single" w:color="auto" w:sz="4" w:space="0"/>
            </w:tcBorders>
            <w:vAlign w:val="center"/>
          </w:tcPr>
          <w:p>
            <w:pPr>
              <w:pStyle w:val="67"/>
              <w:rPr>
                <w:spacing w:val="-8"/>
                <w:sz w:val="24"/>
              </w:rPr>
            </w:pPr>
            <w:r>
              <w:rPr>
                <w:rFonts w:hint="eastAsia"/>
                <w:spacing w:val="-8"/>
                <w:sz w:val="24"/>
              </w:rPr>
              <w:t>其他环境</w:t>
            </w:r>
          </w:p>
          <w:p>
            <w:pPr>
              <w:pStyle w:val="67"/>
              <w:rPr>
                <w:spacing w:val="-8"/>
                <w:sz w:val="24"/>
              </w:rPr>
            </w:pPr>
            <w:r>
              <w:rPr>
                <w:rFonts w:hint="eastAsia"/>
                <w:spacing w:val="-8"/>
                <w:sz w:val="24"/>
              </w:rPr>
              <w:t>管理要求</w:t>
            </w:r>
          </w:p>
        </w:tc>
        <w:tc>
          <w:tcPr>
            <w:tcW w:w="7255" w:type="dxa"/>
            <w:gridSpan w:val="4"/>
            <w:tcBorders>
              <w:top w:val="single" w:color="auto" w:sz="4" w:space="0"/>
              <w:left w:val="single" w:color="auto" w:sz="4" w:space="0"/>
              <w:bottom w:val="single" w:color="auto" w:sz="12" w:space="0"/>
              <w:right w:val="single" w:color="auto" w:sz="12" w:space="0"/>
            </w:tcBorders>
            <w:vAlign w:val="center"/>
          </w:tcPr>
          <w:p>
            <w:pPr>
              <w:pStyle w:val="67"/>
              <w:rPr>
                <w:sz w:val="24"/>
                <w:lang w:eastAsia="zh-CN"/>
              </w:rPr>
            </w:pPr>
            <w:r>
              <w:rPr>
                <w:sz w:val="24"/>
                <w:lang w:eastAsia="zh-CN"/>
              </w:rPr>
              <w:t>1、竣工环境保护验收</w:t>
            </w:r>
          </w:p>
          <w:p>
            <w:pPr>
              <w:pStyle w:val="67"/>
              <w:rPr>
                <w:sz w:val="24"/>
                <w:lang w:eastAsia="zh-CN"/>
              </w:rPr>
            </w:pPr>
            <w:bookmarkStart w:id="335" w:name="_Hlk201586632"/>
            <w:r>
              <w:rPr>
                <w:sz w:val="24"/>
                <w:lang w:eastAsia="zh-CN"/>
              </w:rPr>
              <w:t>根据《建设项目竣工环境保护验收暂行办法》的规定，建设项目竣工后，建设单位应当如实查验、监测、记载建设项目环境保护设施的建设和调试情况，编制验收监测报告表</w:t>
            </w:r>
            <w:bookmarkEnd w:id="335"/>
            <w:r>
              <w:rPr>
                <w:sz w:val="24"/>
                <w:lang w:eastAsia="zh-CN"/>
              </w:rPr>
              <w:t>。</w:t>
            </w:r>
          </w:p>
          <w:p>
            <w:pPr>
              <w:pStyle w:val="67"/>
              <w:rPr>
                <w:sz w:val="24"/>
                <w:lang w:eastAsia="zh-CN"/>
              </w:rPr>
            </w:pPr>
            <w:r>
              <w:rPr>
                <w:sz w:val="24"/>
                <w:lang w:eastAsia="zh-CN"/>
              </w:rPr>
              <w:t>2、</w:t>
            </w:r>
            <w:r>
              <w:rPr>
                <w:rFonts w:hint="eastAsia"/>
                <w:sz w:val="24"/>
                <w:lang w:eastAsia="zh-CN"/>
              </w:rPr>
              <w:t>自行监测</w:t>
            </w:r>
            <w:r>
              <w:rPr>
                <w:sz w:val="24"/>
                <w:lang w:eastAsia="zh-CN"/>
              </w:rPr>
              <w:t>管理要求</w:t>
            </w:r>
          </w:p>
          <w:p>
            <w:pPr>
              <w:pStyle w:val="67"/>
              <w:rPr>
                <w:sz w:val="24"/>
                <w:lang w:eastAsia="zh-CN"/>
              </w:rPr>
            </w:pPr>
            <w:bookmarkStart w:id="336" w:name="_Hlk201586649"/>
            <w:r>
              <w:rPr>
                <w:rFonts w:hint="eastAsia"/>
                <w:sz w:val="24"/>
                <w:lang w:eastAsia="zh-CN"/>
              </w:rPr>
              <w:t>按照《排污单位自行监测技术指南 总则》（HJ819-2017）相关要求定期进行自行监测</w:t>
            </w:r>
            <w:bookmarkEnd w:id="336"/>
            <w:r>
              <w:rPr>
                <w:sz w:val="24"/>
                <w:lang w:eastAsia="zh-CN"/>
              </w:rPr>
              <w:t>。</w:t>
            </w:r>
          </w:p>
          <w:p>
            <w:pPr>
              <w:pStyle w:val="67"/>
              <w:rPr>
                <w:sz w:val="24"/>
                <w:lang w:eastAsia="zh-CN"/>
              </w:rPr>
            </w:pPr>
            <w:r>
              <w:rPr>
                <w:rFonts w:hint="eastAsia"/>
                <w:sz w:val="24"/>
                <w:highlight w:val="yellow"/>
                <w:lang w:eastAsia="zh-CN"/>
              </w:rPr>
              <w:t>3、本次项目建成后进行突发环境应急预案修编。</w:t>
            </w:r>
          </w:p>
        </w:tc>
      </w:tr>
    </w:tbl>
    <w:p>
      <w:pPr>
        <w:pStyle w:val="90"/>
        <w:numPr>
          <w:ilvl w:val="0"/>
          <w:numId w:val="0"/>
        </w:numPr>
        <w:spacing w:before="100" w:after="100"/>
        <w:jc w:val="both"/>
        <w:rPr>
          <w:rFonts w:hint="default"/>
          <w:color w:val="auto"/>
        </w:rPr>
        <w:sectPr>
          <w:footerReference r:id="rId7" w:type="default"/>
          <w:pgSz w:w="11906" w:h="16838"/>
          <w:pgMar w:top="1531" w:right="1701" w:bottom="1531" w:left="1701" w:header="851" w:footer="851" w:gutter="0"/>
          <w:cols w:space="720" w:num="1"/>
          <w:docGrid w:linePitch="312" w:charSpace="0"/>
        </w:sectPr>
      </w:pPr>
    </w:p>
    <w:p>
      <w:pPr>
        <w:pStyle w:val="90"/>
        <w:spacing w:before="100" w:after="100"/>
        <w:rPr>
          <w:rFonts w:hint="default"/>
          <w:color w:val="auto"/>
        </w:rPr>
      </w:pPr>
      <w:r>
        <w:rPr>
          <w:color w:val="auto"/>
        </w:rPr>
        <w:t>结论</w:t>
      </w:r>
    </w:p>
    <w:tbl>
      <w:tblPr>
        <w:tblStyle w:val="23"/>
        <w:tblW w:w="0" w:type="auto"/>
        <w:jc w:val="center"/>
        <w:tblBorders>
          <w:top w:val="single" w:color="auto" w:sz="12" w:space="0"/>
          <w:left w:val="single" w:color="auto" w:sz="12" w:space="0"/>
          <w:bottom w:val="single" w:color="auto" w:sz="12" w:space="0"/>
          <w:right w:val="single" w:color="auto" w:sz="12" w:space="0"/>
          <w:insideH w:val="single" w:color="auto" w:sz="4" w:space="0"/>
          <w:insideV w:val="none" w:color="auto" w:sz="0" w:space="0"/>
        </w:tblBorders>
        <w:tblLayout w:type="fixed"/>
        <w:tblCellMar>
          <w:top w:w="0" w:type="dxa"/>
          <w:left w:w="108" w:type="dxa"/>
          <w:bottom w:w="0" w:type="dxa"/>
          <w:right w:w="108" w:type="dxa"/>
        </w:tblCellMar>
      </w:tblPr>
      <w:tblGrid>
        <w:gridCol w:w="8865"/>
      </w:tblGrid>
      <w:tr>
        <w:tblPrEx>
          <w:tblBorders>
            <w:top w:val="single" w:color="auto" w:sz="12" w:space="0"/>
            <w:left w:val="single" w:color="auto" w:sz="12" w:space="0"/>
            <w:bottom w:val="single" w:color="auto" w:sz="12" w:space="0"/>
            <w:right w:val="single" w:color="auto" w:sz="12" w:space="0"/>
            <w:insideH w:val="single" w:color="auto" w:sz="4" w:space="0"/>
            <w:insideV w:val="none" w:color="auto" w:sz="0" w:space="0"/>
          </w:tblBorders>
          <w:tblCellMar>
            <w:top w:w="0" w:type="dxa"/>
            <w:left w:w="108" w:type="dxa"/>
            <w:bottom w:w="0" w:type="dxa"/>
            <w:right w:w="108" w:type="dxa"/>
          </w:tblCellMar>
        </w:tblPrEx>
        <w:trPr>
          <w:trHeight w:val="11991" w:hRule="atLeast"/>
          <w:jc w:val="center"/>
        </w:trPr>
        <w:tc>
          <w:tcPr>
            <w:tcW w:w="8865" w:type="dxa"/>
          </w:tcPr>
          <w:p>
            <w:pPr>
              <w:pStyle w:val="82"/>
              <w:rPr>
                <w:rFonts w:hint="default"/>
              </w:rPr>
            </w:pPr>
            <w:r>
              <w:t>通过本项目所在地环境现状调查、污染源分析、环境影响分析可知，本项目选址合理，项目符合国家产业政策及相关规划要求，符合国家环境保护相关政策法规要求，项目运行期产生的废水、废气、噪声、固废等采取有效措施后，均能满足国家相关排放标准的要求，企业在生产过程中在充分落实本环评提出的各项污染防治对策前提下，认真做好“三同时”及日常环保管理工作，从环保角度出发，本项目建设可行。</w:t>
            </w:r>
          </w:p>
        </w:tc>
      </w:tr>
      <w:bookmarkEnd w:id="0"/>
    </w:tbl>
    <w:p>
      <w:pPr>
        <w:sectPr>
          <w:pgSz w:w="11906" w:h="16838"/>
          <w:pgMar w:top="1531" w:right="1701" w:bottom="1531" w:left="1701" w:header="851" w:footer="851" w:gutter="0"/>
          <w:cols w:space="720" w:num="1"/>
          <w:docGrid w:linePitch="312" w:charSpace="0"/>
        </w:sectPr>
      </w:pPr>
    </w:p>
    <w:tbl>
      <w:tblPr>
        <w:tblStyle w:val="23"/>
        <w:tblpPr w:leftFromText="180" w:rightFromText="180" w:vertAnchor="text" w:horzAnchor="margin" w:tblpY="1281"/>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559"/>
        <w:gridCol w:w="1276"/>
        <w:gridCol w:w="1134"/>
        <w:gridCol w:w="1984"/>
        <w:gridCol w:w="1418"/>
        <w:gridCol w:w="1417"/>
        <w:gridCol w:w="1843"/>
        <w:gridCol w:w="156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88" w:type="dxa"/>
            <w:tcBorders>
              <w:tl2br w:val="single" w:color="auto" w:sz="4" w:space="0"/>
            </w:tcBorders>
            <w:tcMar>
              <w:left w:w="28" w:type="dxa"/>
              <w:right w:w="28" w:type="dxa"/>
            </w:tcMar>
            <w:vAlign w:val="center"/>
          </w:tcPr>
          <w:p>
            <w:pPr>
              <w:adjustRightInd w:val="0"/>
              <w:snapToGrid w:val="0"/>
              <w:jc w:val="right"/>
              <w:rPr>
                <w:rFonts w:ascii="Times New Roman" w:hAnsi="Times New Roman" w:eastAsia="黑体" w:cs="Times New Roman"/>
                <w:snapToGrid w:val="0"/>
                <w:spacing w:val="-6"/>
                <w:kern w:val="21"/>
                <w:szCs w:val="21"/>
              </w:rPr>
            </w:pPr>
            <w:r>
              <w:rPr>
                <w:rFonts w:ascii="Times New Roman" w:hAnsi="Times New Roman" w:eastAsia="黑体" w:cs="Times New Roman"/>
                <w:snapToGrid w:val="0"/>
                <w:spacing w:val="-6"/>
                <w:kern w:val="21"/>
                <w:szCs w:val="21"/>
              </w:rPr>
              <w:t>项目</w:t>
            </w:r>
          </w:p>
          <w:p>
            <w:pPr>
              <w:adjustRightInd w:val="0"/>
              <w:snapToGrid w:val="0"/>
              <w:jc w:val="left"/>
              <w:rPr>
                <w:rFonts w:ascii="Times New Roman" w:hAnsi="Times New Roman" w:eastAsia="黑体" w:cs="Times New Roman"/>
                <w:snapToGrid w:val="0"/>
                <w:spacing w:val="-6"/>
                <w:kern w:val="21"/>
                <w:szCs w:val="21"/>
              </w:rPr>
            </w:pPr>
            <w:r>
              <w:rPr>
                <w:rFonts w:ascii="Times New Roman" w:hAnsi="Times New Roman" w:eastAsia="黑体" w:cs="Times New Roman"/>
                <w:snapToGrid w:val="0"/>
                <w:spacing w:val="-6"/>
                <w:kern w:val="21"/>
                <w:szCs w:val="21"/>
              </w:rPr>
              <w:t>分类</w:t>
            </w:r>
          </w:p>
        </w:tc>
        <w:tc>
          <w:tcPr>
            <w:tcW w:w="1559" w:type="dxa"/>
            <w:tcMar>
              <w:left w:w="28" w:type="dxa"/>
              <w:right w:w="28" w:type="dxa"/>
            </w:tcMar>
            <w:vAlign w:val="center"/>
          </w:tcPr>
          <w:p>
            <w:pPr>
              <w:adjustRightInd w:val="0"/>
              <w:snapToGrid w:val="0"/>
              <w:jc w:val="center"/>
              <w:rPr>
                <w:rFonts w:ascii="Times New Roman" w:hAnsi="Times New Roman" w:eastAsia="黑体" w:cs="Times New Roman"/>
                <w:snapToGrid w:val="0"/>
                <w:spacing w:val="-6"/>
                <w:kern w:val="21"/>
                <w:szCs w:val="21"/>
              </w:rPr>
            </w:pPr>
            <w:r>
              <w:rPr>
                <w:rFonts w:ascii="Times New Roman" w:hAnsi="Times New Roman" w:eastAsia="黑体" w:cs="Times New Roman"/>
                <w:snapToGrid w:val="0"/>
                <w:spacing w:val="-6"/>
                <w:kern w:val="21"/>
                <w:szCs w:val="21"/>
              </w:rPr>
              <w:t>污染物名称</w:t>
            </w:r>
          </w:p>
        </w:tc>
        <w:tc>
          <w:tcPr>
            <w:tcW w:w="1276" w:type="dxa"/>
            <w:tcMar>
              <w:left w:w="28" w:type="dxa"/>
              <w:right w:w="28" w:type="dxa"/>
            </w:tcMar>
            <w:vAlign w:val="center"/>
          </w:tcPr>
          <w:p>
            <w:pPr>
              <w:adjustRightInd w:val="0"/>
              <w:snapToGrid w:val="0"/>
              <w:jc w:val="center"/>
              <w:rPr>
                <w:rFonts w:ascii="Times New Roman" w:hAnsi="Times New Roman" w:eastAsia="黑体" w:cs="Times New Roman"/>
                <w:snapToGrid w:val="0"/>
                <w:spacing w:val="-6"/>
                <w:kern w:val="21"/>
                <w:szCs w:val="21"/>
              </w:rPr>
            </w:pPr>
            <w:r>
              <w:rPr>
                <w:rFonts w:ascii="Times New Roman" w:hAnsi="Times New Roman" w:eastAsia="黑体" w:cs="Times New Roman"/>
                <w:snapToGrid w:val="0"/>
                <w:spacing w:val="-6"/>
                <w:kern w:val="21"/>
                <w:szCs w:val="21"/>
              </w:rPr>
              <w:t>现有工程</w:t>
            </w:r>
          </w:p>
          <w:p>
            <w:pPr>
              <w:adjustRightInd w:val="0"/>
              <w:snapToGrid w:val="0"/>
              <w:jc w:val="center"/>
              <w:rPr>
                <w:rFonts w:ascii="Times New Roman" w:hAnsi="Times New Roman" w:eastAsia="黑体" w:cs="Times New Roman"/>
                <w:snapToGrid w:val="0"/>
                <w:spacing w:val="-6"/>
                <w:kern w:val="21"/>
                <w:szCs w:val="21"/>
              </w:rPr>
            </w:pPr>
            <w:r>
              <w:rPr>
                <w:rFonts w:ascii="Times New Roman" w:hAnsi="Times New Roman" w:eastAsia="黑体" w:cs="Times New Roman"/>
                <w:snapToGrid w:val="0"/>
                <w:spacing w:val="-6"/>
                <w:kern w:val="21"/>
                <w:szCs w:val="21"/>
              </w:rPr>
              <w:t>排放量（固体废物产生量）</w:t>
            </w:r>
            <w:r>
              <w:rPr>
                <w:rFonts w:ascii="Times New Roman" w:hAnsi="Times New Roman" w:eastAsia="黑体" w:cs="Times New Roman"/>
                <w:snapToGrid w:val="0"/>
                <w:spacing w:val="-6"/>
                <w:kern w:val="21"/>
                <w:szCs w:val="21"/>
              </w:rPr>
              <w:fldChar w:fldCharType="begin"/>
            </w:r>
            <w:r>
              <w:rPr>
                <w:rFonts w:ascii="Times New Roman" w:hAnsi="Times New Roman" w:eastAsia="黑体" w:cs="Times New Roman"/>
                <w:snapToGrid w:val="0"/>
                <w:spacing w:val="-6"/>
                <w:kern w:val="21"/>
                <w:szCs w:val="21"/>
              </w:rPr>
              <w:instrText xml:space="preserve"> = 1 \* GB3 \* MERGEFORMAT </w:instrText>
            </w:r>
            <w:r>
              <w:rPr>
                <w:rFonts w:ascii="Times New Roman" w:hAnsi="Times New Roman" w:eastAsia="黑体" w:cs="Times New Roman"/>
                <w:snapToGrid w:val="0"/>
                <w:spacing w:val="-6"/>
                <w:kern w:val="21"/>
                <w:szCs w:val="21"/>
              </w:rPr>
              <w:fldChar w:fldCharType="separate"/>
            </w:r>
            <w:r>
              <w:rPr>
                <w:rFonts w:hint="eastAsia" w:ascii="宋体" w:hAnsi="宋体" w:eastAsia="宋体" w:cs="宋体"/>
                <w:szCs w:val="21"/>
              </w:rPr>
              <w:t>①</w:t>
            </w:r>
            <w:r>
              <w:rPr>
                <w:rFonts w:ascii="Times New Roman" w:hAnsi="Times New Roman" w:eastAsia="黑体" w:cs="Times New Roman"/>
                <w:snapToGrid w:val="0"/>
                <w:spacing w:val="-6"/>
                <w:kern w:val="21"/>
                <w:szCs w:val="21"/>
              </w:rPr>
              <w:fldChar w:fldCharType="end"/>
            </w:r>
          </w:p>
        </w:tc>
        <w:tc>
          <w:tcPr>
            <w:tcW w:w="1134" w:type="dxa"/>
            <w:tcMar>
              <w:left w:w="28" w:type="dxa"/>
              <w:right w:w="28" w:type="dxa"/>
            </w:tcMar>
            <w:vAlign w:val="center"/>
          </w:tcPr>
          <w:p>
            <w:pPr>
              <w:adjustRightInd w:val="0"/>
              <w:snapToGrid w:val="0"/>
              <w:jc w:val="center"/>
              <w:rPr>
                <w:rFonts w:ascii="Times New Roman" w:hAnsi="Times New Roman" w:eastAsia="黑体" w:cs="Times New Roman"/>
                <w:snapToGrid w:val="0"/>
                <w:spacing w:val="-6"/>
                <w:kern w:val="21"/>
                <w:szCs w:val="21"/>
              </w:rPr>
            </w:pPr>
            <w:r>
              <w:rPr>
                <w:rFonts w:ascii="Times New Roman" w:hAnsi="Times New Roman" w:eastAsia="黑体" w:cs="Times New Roman"/>
                <w:snapToGrid w:val="0"/>
                <w:spacing w:val="-6"/>
                <w:kern w:val="21"/>
                <w:szCs w:val="21"/>
              </w:rPr>
              <w:t>现有工程</w:t>
            </w:r>
          </w:p>
          <w:p>
            <w:pPr>
              <w:adjustRightInd w:val="0"/>
              <w:snapToGrid w:val="0"/>
              <w:jc w:val="center"/>
              <w:rPr>
                <w:rFonts w:ascii="Times New Roman" w:hAnsi="Times New Roman" w:eastAsia="黑体" w:cs="Times New Roman"/>
                <w:snapToGrid w:val="0"/>
                <w:spacing w:val="-6"/>
                <w:kern w:val="21"/>
                <w:szCs w:val="21"/>
              </w:rPr>
            </w:pPr>
            <w:r>
              <w:rPr>
                <w:rFonts w:ascii="Times New Roman" w:hAnsi="Times New Roman" w:eastAsia="黑体" w:cs="Times New Roman"/>
                <w:snapToGrid w:val="0"/>
                <w:spacing w:val="-6"/>
                <w:kern w:val="21"/>
                <w:szCs w:val="21"/>
              </w:rPr>
              <w:t>许可排放量</w:t>
            </w:r>
          </w:p>
          <w:p>
            <w:pPr>
              <w:adjustRightInd w:val="0"/>
              <w:snapToGrid w:val="0"/>
              <w:jc w:val="center"/>
              <w:rPr>
                <w:rFonts w:ascii="Times New Roman" w:hAnsi="Times New Roman" w:eastAsia="黑体" w:cs="Times New Roman"/>
                <w:snapToGrid w:val="0"/>
                <w:spacing w:val="-6"/>
                <w:kern w:val="21"/>
                <w:szCs w:val="21"/>
              </w:rPr>
            </w:pPr>
            <w:r>
              <w:rPr>
                <w:rFonts w:ascii="Times New Roman" w:hAnsi="Times New Roman" w:eastAsia="黑体" w:cs="Times New Roman"/>
                <w:snapToGrid w:val="0"/>
                <w:spacing w:val="-6"/>
                <w:kern w:val="21"/>
                <w:szCs w:val="21"/>
              </w:rPr>
              <w:fldChar w:fldCharType="begin"/>
            </w:r>
            <w:r>
              <w:rPr>
                <w:rFonts w:ascii="Times New Roman" w:hAnsi="Times New Roman" w:eastAsia="黑体" w:cs="Times New Roman"/>
                <w:snapToGrid w:val="0"/>
                <w:spacing w:val="-6"/>
                <w:kern w:val="21"/>
                <w:szCs w:val="21"/>
              </w:rPr>
              <w:instrText xml:space="preserve"> = 2 \* GB3 \* MERGEFORMAT </w:instrText>
            </w:r>
            <w:r>
              <w:rPr>
                <w:rFonts w:ascii="Times New Roman" w:hAnsi="Times New Roman" w:eastAsia="黑体" w:cs="Times New Roman"/>
                <w:snapToGrid w:val="0"/>
                <w:spacing w:val="-6"/>
                <w:kern w:val="21"/>
                <w:szCs w:val="21"/>
              </w:rPr>
              <w:fldChar w:fldCharType="separate"/>
            </w:r>
            <w:r>
              <w:rPr>
                <w:rFonts w:hint="eastAsia" w:ascii="宋体" w:hAnsi="宋体" w:eastAsia="宋体" w:cs="宋体"/>
                <w:snapToGrid w:val="0"/>
                <w:spacing w:val="-6"/>
                <w:kern w:val="21"/>
                <w:szCs w:val="21"/>
              </w:rPr>
              <w:t>②</w:t>
            </w:r>
            <w:r>
              <w:rPr>
                <w:rFonts w:ascii="Times New Roman" w:hAnsi="Times New Roman" w:eastAsia="黑体" w:cs="Times New Roman"/>
                <w:snapToGrid w:val="0"/>
                <w:spacing w:val="-6"/>
                <w:kern w:val="21"/>
                <w:szCs w:val="21"/>
              </w:rPr>
              <w:fldChar w:fldCharType="end"/>
            </w:r>
          </w:p>
        </w:tc>
        <w:tc>
          <w:tcPr>
            <w:tcW w:w="1984" w:type="dxa"/>
            <w:tcMar>
              <w:left w:w="28" w:type="dxa"/>
              <w:right w:w="28" w:type="dxa"/>
            </w:tcMar>
            <w:vAlign w:val="center"/>
          </w:tcPr>
          <w:p>
            <w:pPr>
              <w:adjustRightInd w:val="0"/>
              <w:snapToGrid w:val="0"/>
              <w:jc w:val="center"/>
              <w:rPr>
                <w:rFonts w:ascii="Times New Roman" w:hAnsi="Times New Roman" w:eastAsia="黑体" w:cs="Times New Roman"/>
                <w:snapToGrid w:val="0"/>
                <w:spacing w:val="-6"/>
                <w:kern w:val="21"/>
                <w:szCs w:val="21"/>
              </w:rPr>
            </w:pPr>
            <w:r>
              <w:rPr>
                <w:rFonts w:ascii="Times New Roman" w:hAnsi="Times New Roman" w:eastAsia="黑体" w:cs="Times New Roman"/>
                <w:snapToGrid w:val="0"/>
                <w:spacing w:val="-6"/>
                <w:kern w:val="21"/>
                <w:szCs w:val="21"/>
              </w:rPr>
              <w:t>在建工程</w:t>
            </w:r>
          </w:p>
          <w:p>
            <w:pPr>
              <w:adjustRightInd w:val="0"/>
              <w:snapToGrid w:val="0"/>
              <w:jc w:val="center"/>
              <w:rPr>
                <w:rFonts w:ascii="Times New Roman" w:hAnsi="Times New Roman" w:eastAsia="黑体" w:cs="Times New Roman"/>
                <w:snapToGrid w:val="0"/>
                <w:spacing w:val="-6"/>
                <w:kern w:val="21"/>
                <w:szCs w:val="21"/>
              </w:rPr>
            </w:pPr>
            <w:r>
              <w:rPr>
                <w:rFonts w:ascii="Times New Roman" w:hAnsi="Times New Roman" w:eastAsia="黑体" w:cs="Times New Roman"/>
                <w:snapToGrid w:val="0"/>
                <w:spacing w:val="-6"/>
                <w:kern w:val="21"/>
                <w:szCs w:val="21"/>
              </w:rPr>
              <w:t>排放量（固体废物产生量）</w:t>
            </w:r>
            <w:r>
              <w:rPr>
                <w:rFonts w:ascii="Times New Roman" w:hAnsi="Times New Roman" w:eastAsia="黑体" w:cs="Times New Roman"/>
                <w:snapToGrid w:val="0"/>
                <w:spacing w:val="-6"/>
                <w:kern w:val="21"/>
                <w:szCs w:val="21"/>
              </w:rPr>
              <w:fldChar w:fldCharType="begin"/>
            </w:r>
            <w:r>
              <w:rPr>
                <w:rFonts w:ascii="Times New Roman" w:hAnsi="Times New Roman" w:eastAsia="黑体" w:cs="Times New Roman"/>
                <w:snapToGrid w:val="0"/>
                <w:spacing w:val="-6"/>
                <w:kern w:val="21"/>
                <w:szCs w:val="21"/>
              </w:rPr>
              <w:instrText xml:space="preserve"> = 3 \* GB3 \* MERGEFORMAT </w:instrText>
            </w:r>
            <w:r>
              <w:rPr>
                <w:rFonts w:ascii="Times New Roman" w:hAnsi="Times New Roman" w:eastAsia="黑体" w:cs="Times New Roman"/>
                <w:snapToGrid w:val="0"/>
                <w:spacing w:val="-6"/>
                <w:kern w:val="21"/>
                <w:szCs w:val="21"/>
              </w:rPr>
              <w:fldChar w:fldCharType="separate"/>
            </w:r>
            <w:r>
              <w:rPr>
                <w:rFonts w:hint="eastAsia" w:ascii="宋体" w:hAnsi="宋体" w:eastAsia="宋体" w:cs="宋体"/>
                <w:szCs w:val="21"/>
              </w:rPr>
              <w:t>③</w:t>
            </w:r>
            <w:r>
              <w:rPr>
                <w:rFonts w:ascii="Times New Roman" w:hAnsi="Times New Roman" w:eastAsia="黑体" w:cs="Times New Roman"/>
                <w:snapToGrid w:val="0"/>
                <w:spacing w:val="-6"/>
                <w:kern w:val="21"/>
                <w:szCs w:val="21"/>
              </w:rPr>
              <w:fldChar w:fldCharType="end"/>
            </w:r>
          </w:p>
        </w:tc>
        <w:tc>
          <w:tcPr>
            <w:tcW w:w="1418" w:type="dxa"/>
            <w:tcMar>
              <w:left w:w="28" w:type="dxa"/>
              <w:right w:w="28" w:type="dxa"/>
            </w:tcMar>
            <w:vAlign w:val="center"/>
          </w:tcPr>
          <w:p>
            <w:pPr>
              <w:adjustRightInd w:val="0"/>
              <w:snapToGrid w:val="0"/>
              <w:jc w:val="center"/>
              <w:rPr>
                <w:rFonts w:ascii="Times New Roman" w:hAnsi="Times New Roman" w:eastAsia="黑体" w:cs="Times New Roman"/>
                <w:snapToGrid w:val="0"/>
                <w:spacing w:val="-6"/>
                <w:kern w:val="21"/>
                <w:szCs w:val="21"/>
              </w:rPr>
            </w:pPr>
            <w:r>
              <w:rPr>
                <w:rFonts w:ascii="Times New Roman" w:hAnsi="Times New Roman" w:eastAsia="黑体" w:cs="Times New Roman"/>
                <w:snapToGrid w:val="0"/>
                <w:spacing w:val="-6"/>
                <w:kern w:val="21"/>
                <w:szCs w:val="21"/>
              </w:rPr>
              <w:t>本项目</w:t>
            </w:r>
          </w:p>
          <w:p>
            <w:pPr>
              <w:adjustRightInd w:val="0"/>
              <w:snapToGrid w:val="0"/>
              <w:jc w:val="center"/>
              <w:rPr>
                <w:rFonts w:ascii="Times New Roman" w:hAnsi="Times New Roman" w:eastAsia="黑体" w:cs="Times New Roman"/>
                <w:snapToGrid w:val="0"/>
                <w:spacing w:val="-6"/>
                <w:kern w:val="21"/>
                <w:szCs w:val="21"/>
              </w:rPr>
            </w:pPr>
            <w:r>
              <w:rPr>
                <w:rFonts w:ascii="Times New Roman" w:hAnsi="Times New Roman" w:eastAsia="黑体" w:cs="Times New Roman"/>
                <w:snapToGrid w:val="0"/>
                <w:spacing w:val="-6"/>
                <w:kern w:val="21"/>
                <w:szCs w:val="21"/>
              </w:rPr>
              <w:t>排放量（固体废物产生量）</w:t>
            </w:r>
            <w:r>
              <w:rPr>
                <w:rFonts w:ascii="Times New Roman" w:hAnsi="Times New Roman" w:eastAsia="黑体" w:cs="Times New Roman"/>
                <w:snapToGrid w:val="0"/>
                <w:spacing w:val="-6"/>
                <w:kern w:val="21"/>
                <w:szCs w:val="21"/>
              </w:rPr>
              <w:fldChar w:fldCharType="begin"/>
            </w:r>
            <w:r>
              <w:rPr>
                <w:rFonts w:ascii="Times New Roman" w:hAnsi="Times New Roman" w:eastAsia="黑体" w:cs="Times New Roman"/>
                <w:snapToGrid w:val="0"/>
                <w:spacing w:val="-6"/>
                <w:kern w:val="21"/>
                <w:szCs w:val="21"/>
              </w:rPr>
              <w:instrText xml:space="preserve"> = 4 \* GB3 \* MERGEFORMAT </w:instrText>
            </w:r>
            <w:r>
              <w:rPr>
                <w:rFonts w:ascii="Times New Roman" w:hAnsi="Times New Roman" w:eastAsia="黑体" w:cs="Times New Roman"/>
                <w:snapToGrid w:val="0"/>
                <w:spacing w:val="-6"/>
                <w:kern w:val="21"/>
                <w:szCs w:val="21"/>
              </w:rPr>
              <w:fldChar w:fldCharType="separate"/>
            </w:r>
            <w:r>
              <w:rPr>
                <w:rFonts w:hint="eastAsia" w:ascii="宋体" w:hAnsi="宋体" w:eastAsia="宋体" w:cs="宋体"/>
                <w:szCs w:val="21"/>
              </w:rPr>
              <w:t>④</w:t>
            </w:r>
            <w:r>
              <w:rPr>
                <w:rFonts w:ascii="Times New Roman" w:hAnsi="Times New Roman" w:eastAsia="黑体" w:cs="Times New Roman"/>
                <w:snapToGrid w:val="0"/>
                <w:spacing w:val="-6"/>
                <w:kern w:val="21"/>
                <w:szCs w:val="21"/>
              </w:rPr>
              <w:fldChar w:fldCharType="end"/>
            </w:r>
          </w:p>
        </w:tc>
        <w:tc>
          <w:tcPr>
            <w:tcW w:w="1417" w:type="dxa"/>
            <w:tcMar>
              <w:left w:w="28" w:type="dxa"/>
              <w:right w:w="28" w:type="dxa"/>
            </w:tcMar>
            <w:vAlign w:val="center"/>
          </w:tcPr>
          <w:p>
            <w:pPr>
              <w:adjustRightInd w:val="0"/>
              <w:snapToGrid w:val="0"/>
              <w:jc w:val="center"/>
              <w:rPr>
                <w:rFonts w:ascii="Times New Roman" w:hAnsi="Times New Roman" w:eastAsia="黑体" w:cs="Times New Roman"/>
                <w:snapToGrid w:val="0"/>
                <w:spacing w:val="-16"/>
                <w:kern w:val="21"/>
                <w:szCs w:val="21"/>
              </w:rPr>
            </w:pPr>
            <w:r>
              <w:rPr>
                <w:rFonts w:ascii="Times New Roman" w:hAnsi="Times New Roman" w:eastAsia="黑体" w:cs="Times New Roman"/>
                <w:snapToGrid w:val="0"/>
                <w:spacing w:val="-16"/>
                <w:kern w:val="21"/>
                <w:szCs w:val="21"/>
              </w:rPr>
              <w:t>以新带老削减量</w:t>
            </w:r>
          </w:p>
          <w:p>
            <w:pPr>
              <w:adjustRightInd w:val="0"/>
              <w:snapToGrid w:val="0"/>
              <w:jc w:val="center"/>
              <w:rPr>
                <w:rFonts w:ascii="Times New Roman" w:hAnsi="Times New Roman" w:eastAsia="黑体" w:cs="Times New Roman"/>
                <w:snapToGrid w:val="0"/>
                <w:spacing w:val="-16"/>
                <w:kern w:val="21"/>
                <w:szCs w:val="21"/>
              </w:rPr>
            </w:pPr>
            <w:r>
              <w:rPr>
                <w:rFonts w:ascii="Times New Roman" w:hAnsi="Times New Roman" w:eastAsia="黑体" w:cs="Times New Roman"/>
                <w:snapToGrid w:val="0"/>
                <w:spacing w:val="-16"/>
                <w:kern w:val="21"/>
                <w:szCs w:val="21"/>
              </w:rPr>
              <w:t>（新建项目不填）</w:t>
            </w:r>
            <w:r>
              <w:rPr>
                <w:rFonts w:ascii="Times New Roman" w:hAnsi="Times New Roman" w:eastAsia="黑体" w:cs="Times New Roman"/>
                <w:snapToGrid w:val="0"/>
                <w:spacing w:val="-16"/>
                <w:kern w:val="21"/>
                <w:szCs w:val="21"/>
              </w:rPr>
              <w:fldChar w:fldCharType="begin"/>
            </w:r>
            <w:r>
              <w:rPr>
                <w:rFonts w:ascii="Times New Roman" w:hAnsi="Times New Roman" w:eastAsia="黑体" w:cs="Times New Roman"/>
                <w:snapToGrid w:val="0"/>
                <w:spacing w:val="-16"/>
                <w:kern w:val="21"/>
                <w:szCs w:val="21"/>
              </w:rPr>
              <w:instrText xml:space="preserve"> = 5 \* GB3 \* MERGEFORMAT </w:instrText>
            </w:r>
            <w:r>
              <w:rPr>
                <w:rFonts w:ascii="Times New Roman" w:hAnsi="Times New Roman" w:eastAsia="黑体" w:cs="Times New Roman"/>
                <w:snapToGrid w:val="0"/>
                <w:spacing w:val="-16"/>
                <w:kern w:val="21"/>
                <w:szCs w:val="21"/>
              </w:rPr>
              <w:fldChar w:fldCharType="separate"/>
            </w:r>
            <w:r>
              <w:rPr>
                <w:rFonts w:hint="eastAsia" w:ascii="宋体" w:hAnsi="宋体" w:eastAsia="宋体" w:cs="宋体"/>
                <w:szCs w:val="21"/>
              </w:rPr>
              <w:t>⑤</w:t>
            </w:r>
            <w:r>
              <w:rPr>
                <w:rFonts w:ascii="Times New Roman" w:hAnsi="Times New Roman" w:eastAsia="黑体" w:cs="Times New Roman"/>
                <w:snapToGrid w:val="0"/>
                <w:spacing w:val="-16"/>
                <w:kern w:val="21"/>
                <w:szCs w:val="21"/>
              </w:rPr>
              <w:fldChar w:fldCharType="end"/>
            </w:r>
          </w:p>
        </w:tc>
        <w:tc>
          <w:tcPr>
            <w:tcW w:w="1843" w:type="dxa"/>
            <w:tcMar>
              <w:left w:w="28" w:type="dxa"/>
              <w:right w:w="28" w:type="dxa"/>
            </w:tcMar>
            <w:vAlign w:val="center"/>
          </w:tcPr>
          <w:p>
            <w:pPr>
              <w:adjustRightInd w:val="0"/>
              <w:snapToGrid w:val="0"/>
              <w:jc w:val="center"/>
              <w:rPr>
                <w:rFonts w:ascii="Times New Roman" w:hAnsi="Times New Roman" w:eastAsia="黑体" w:cs="Times New Roman"/>
                <w:snapToGrid w:val="0"/>
                <w:spacing w:val="-16"/>
                <w:kern w:val="21"/>
                <w:szCs w:val="21"/>
              </w:rPr>
            </w:pPr>
            <w:r>
              <w:rPr>
                <w:rFonts w:ascii="Times New Roman" w:hAnsi="Times New Roman" w:eastAsia="黑体" w:cs="Times New Roman"/>
                <w:snapToGrid w:val="0"/>
                <w:spacing w:val="-16"/>
                <w:kern w:val="21"/>
                <w:szCs w:val="21"/>
              </w:rPr>
              <w:t>本项目建成后</w:t>
            </w:r>
          </w:p>
          <w:p>
            <w:pPr>
              <w:adjustRightInd w:val="0"/>
              <w:snapToGrid w:val="0"/>
              <w:jc w:val="center"/>
              <w:rPr>
                <w:rFonts w:ascii="Times New Roman" w:hAnsi="Times New Roman" w:eastAsia="黑体" w:cs="Times New Roman"/>
                <w:snapToGrid w:val="0"/>
                <w:spacing w:val="-16"/>
                <w:kern w:val="21"/>
                <w:szCs w:val="21"/>
              </w:rPr>
            </w:pPr>
            <w:r>
              <w:rPr>
                <w:rFonts w:ascii="Times New Roman" w:hAnsi="Times New Roman" w:eastAsia="黑体" w:cs="Times New Roman"/>
                <w:snapToGrid w:val="0"/>
                <w:spacing w:val="-16"/>
                <w:kern w:val="21"/>
                <w:szCs w:val="21"/>
              </w:rPr>
              <w:t>全厂排放量（固体废物产生量）</w:t>
            </w:r>
            <w:r>
              <w:rPr>
                <w:rFonts w:ascii="Times New Roman" w:hAnsi="Times New Roman" w:eastAsia="黑体" w:cs="Times New Roman"/>
                <w:snapToGrid w:val="0"/>
                <w:spacing w:val="-16"/>
                <w:kern w:val="21"/>
                <w:szCs w:val="21"/>
              </w:rPr>
              <w:fldChar w:fldCharType="begin"/>
            </w:r>
            <w:r>
              <w:rPr>
                <w:rFonts w:ascii="Times New Roman" w:hAnsi="Times New Roman" w:eastAsia="黑体" w:cs="Times New Roman"/>
                <w:snapToGrid w:val="0"/>
                <w:spacing w:val="-16"/>
                <w:kern w:val="21"/>
                <w:szCs w:val="21"/>
              </w:rPr>
              <w:instrText xml:space="preserve"> = 6 \* GB3 \* MERGEFORMAT </w:instrText>
            </w:r>
            <w:r>
              <w:rPr>
                <w:rFonts w:ascii="Times New Roman" w:hAnsi="Times New Roman" w:eastAsia="黑体" w:cs="Times New Roman"/>
                <w:snapToGrid w:val="0"/>
                <w:spacing w:val="-16"/>
                <w:kern w:val="21"/>
                <w:szCs w:val="21"/>
              </w:rPr>
              <w:fldChar w:fldCharType="separate"/>
            </w:r>
            <w:r>
              <w:rPr>
                <w:rFonts w:hint="eastAsia" w:ascii="宋体" w:hAnsi="宋体" w:eastAsia="宋体" w:cs="宋体"/>
                <w:szCs w:val="21"/>
              </w:rPr>
              <w:t>⑥</w:t>
            </w:r>
            <w:r>
              <w:rPr>
                <w:rFonts w:ascii="Times New Roman" w:hAnsi="Times New Roman" w:eastAsia="黑体" w:cs="Times New Roman"/>
                <w:snapToGrid w:val="0"/>
                <w:spacing w:val="-16"/>
                <w:kern w:val="21"/>
                <w:szCs w:val="21"/>
              </w:rPr>
              <w:fldChar w:fldCharType="end"/>
            </w:r>
          </w:p>
        </w:tc>
        <w:tc>
          <w:tcPr>
            <w:tcW w:w="1569" w:type="dxa"/>
            <w:tcMar>
              <w:left w:w="28" w:type="dxa"/>
              <w:right w:w="28" w:type="dxa"/>
            </w:tcMar>
            <w:vAlign w:val="center"/>
          </w:tcPr>
          <w:p>
            <w:pPr>
              <w:adjustRightInd w:val="0"/>
              <w:snapToGrid w:val="0"/>
              <w:jc w:val="center"/>
              <w:rPr>
                <w:rFonts w:ascii="Times New Roman" w:hAnsi="Times New Roman" w:eastAsia="黑体" w:cs="Times New Roman"/>
                <w:snapToGrid w:val="0"/>
                <w:spacing w:val="-6"/>
                <w:kern w:val="21"/>
                <w:szCs w:val="21"/>
              </w:rPr>
            </w:pPr>
            <w:r>
              <w:rPr>
                <w:rFonts w:ascii="Times New Roman" w:hAnsi="Times New Roman" w:eastAsia="黑体" w:cs="Times New Roman"/>
                <w:snapToGrid w:val="0"/>
                <w:spacing w:val="-6"/>
                <w:kern w:val="21"/>
                <w:szCs w:val="21"/>
              </w:rPr>
              <w:t>变化量</w:t>
            </w:r>
          </w:p>
          <w:p>
            <w:pPr>
              <w:adjustRightInd w:val="0"/>
              <w:snapToGrid w:val="0"/>
              <w:jc w:val="center"/>
              <w:rPr>
                <w:rFonts w:ascii="Times New Roman" w:hAnsi="Times New Roman" w:eastAsia="黑体" w:cs="Times New Roman"/>
                <w:snapToGrid w:val="0"/>
                <w:spacing w:val="-6"/>
                <w:kern w:val="21"/>
                <w:szCs w:val="21"/>
              </w:rPr>
            </w:pPr>
            <w:r>
              <w:rPr>
                <w:rFonts w:ascii="Times New Roman" w:hAnsi="Times New Roman" w:eastAsia="黑体" w:cs="Times New Roman"/>
                <w:snapToGrid w:val="0"/>
                <w:spacing w:val="-6"/>
                <w:kern w:val="21"/>
                <w:szCs w:val="21"/>
              </w:rPr>
              <w:fldChar w:fldCharType="begin"/>
            </w:r>
            <w:r>
              <w:rPr>
                <w:rFonts w:ascii="Times New Roman" w:hAnsi="Times New Roman" w:eastAsia="黑体" w:cs="Times New Roman"/>
                <w:snapToGrid w:val="0"/>
                <w:spacing w:val="-6"/>
                <w:kern w:val="21"/>
                <w:szCs w:val="21"/>
              </w:rPr>
              <w:instrText xml:space="preserve"> = 7 \* GB3 \* MERGEFORMAT </w:instrText>
            </w:r>
            <w:r>
              <w:rPr>
                <w:rFonts w:ascii="Times New Roman" w:hAnsi="Times New Roman" w:eastAsia="黑体" w:cs="Times New Roman"/>
                <w:snapToGrid w:val="0"/>
                <w:spacing w:val="-6"/>
                <w:kern w:val="21"/>
                <w:szCs w:val="21"/>
              </w:rPr>
              <w:fldChar w:fldCharType="separate"/>
            </w:r>
            <w:r>
              <w:rPr>
                <w:rFonts w:hint="eastAsia" w:ascii="宋体" w:hAnsi="宋体" w:eastAsia="宋体" w:cs="宋体"/>
                <w:szCs w:val="21"/>
              </w:rPr>
              <w:t>⑦</w:t>
            </w:r>
            <w:r>
              <w:rPr>
                <w:rFonts w:ascii="Times New Roman" w:hAnsi="Times New Roman" w:eastAsia="黑体" w:cs="Times New Roman"/>
                <w:snapToGrid w:val="0"/>
                <w:spacing w:val="-6"/>
                <w:kern w:val="21"/>
                <w:szCs w:val="21"/>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pPr>
              <w:adjustRightInd w:val="0"/>
              <w:snapToGrid w:val="0"/>
              <w:jc w:val="center"/>
              <w:rPr>
                <w:rFonts w:ascii="Times New Roman" w:hAnsi="Times New Roman" w:eastAsia="黑体" w:cs="Times New Roman"/>
                <w:snapToGrid w:val="0"/>
                <w:kern w:val="21"/>
                <w:szCs w:val="21"/>
              </w:rPr>
            </w:pPr>
            <w:r>
              <w:rPr>
                <w:rFonts w:ascii="Times New Roman" w:hAnsi="Times New Roman" w:eastAsia="黑体" w:cs="Times New Roman"/>
                <w:snapToGrid w:val="0"/>
                <w:kern w:val="21"/>
                <w:szCs w:val="21"/>
              </w:rPr>
              <w:t>危险废物</w:t>
            </w:r>
          </w:p>
        </w:tc>
        <w:tc>
          <w:tcPr>
            <w:tcW w:w="1559" w:type="dxa"/>
          </w:tcPr>
          <w:p>
            <w:pPr>
              <w:adjustRightInd w:val="0"/>
              <w:snapToGrid w:val="0"/>
              <w:jc w:val="center"/>
              <w:rPr>
                <w:rFonts w:ascii="Times New Roman" w:hAnsi="Times New Roman" w:eastAsia="黑体" w:cs="Times New Roman"/>
                <w:snapToGrid w:val="0"/>
                <w:kern w:val="21"/>
                <w:szCs w:val="21"/>
              </w:rPr>
            </w:pPr>
            <w:r>
              <w:rPr>
                <w:rFonts w:ascii="Times New Roman" w:hAnsi="Times New Roman" w:eastAsia="黑体" w:cs="Times New Roman"/>
              </w:rPr>
              <w:t>废机油</w:t>
            </w:r>
          </w:p>
        </w:tc>
        <w:tc>
          <w:tcPr>
            <w:tcW w:w="1276" w:type="dxa"/>
            <w:vAlign w:val="center"/>
          </w:tcPr>
          <w:p>
            <w:pPr>
              <w:adjustRightInd w:val="0"/>
              <w:snapToGrid w:val="0"/>
              <w:jc w:val="center"/>
              <w:rPr>
                <w:rFonts w:ascii="Times New Roman" w:hAnsi="Times New Roman" w:eastAsia="黑体" w:cs="Times New Roman"/>
                <w:snapToGrid w:val="0"/>
                <w:kern w:val="21"/>
                <w:szCs w:val="21"/>
              </w:rPr>
            </w:pPr>
          </w:p>
        </w:tc>
        <w:tc>
          <w:tcPr>
            <w:tcW w:w="1134" w:type="dxa"/>
            <w:vAlign w:val="center"/>
          </w:tcPr>
          <w:p>
            <w:pPr>
              <w:adjustRightInd w:val="0"/>
              <w:snapToGrid w:val="0"/>
              <w:jc w:val="center"/>
              <w:rPr>
                <w:rFonts w:ascii="Times New Roman" w:hAnsi="Times New Roman" w:eastAsia="黑体" w:cs="Times New Roman"/>
                <w:snapToGrid w:val="0"/>
                <w:kern w:val="21"/>
                <w:szCs w:val="21"/>
              </w:rPr>
            </w:pPr>
            <w:r>
              <w:rPr>
                <w:rFonts w:ascii="Times New Roman" w:hAnsi="Times New Roman" w:eastAsia="黑体" w:cs="Times New Roman"/>
                <w:snapToGrid w:val="0"/>
                <w:kern w:val="21"/>
                <w:szCs w:val="21"/>
              </w:rPr>
              <w:t>2</w:t>
            </w:r>
          </w:p>
        </w:tc>
        <w:tc>
          <w:tcPr>
            <w:tcW w:w="1984" w:type="dxa"/>
            <w:vAlign w:val="center"/>
          </w:tcPr>
          <w:p>
            <w:pPr>
              <w:adjustRightInd w:val="0"/>
              <w:snapToGrid w:val="0"/>
              <w:jc w:val="center"/>
              <w:rPr>
                <w:rFonts w:ascii="Times New Roman" w:hAnsi="Times New Roman" w:eastAsia="黑体" w:cs="Times New Roman"/>
                <w:snapToGrid w:val="0"/>
                <w:kern w:val="21"/>
                <w:szCs w:val="21"/>
              </w:rPr>
            </w:pPr>
          </w:p>
        </w:tc>
        <w:tc>
          <w:tcPr>
            <w:tcW w:w="1418" w:type="dxa"/>
            <w:vAlign w:val="center"/>
          </w:tcPr>
          <w:p>
            <w:pPr>
              <w:adjustRightInd w:val="0"/>
              <w:snapToGrid w:val="0"/>
              <w:jc w:val="center"/>
              <w:rPr>
                <w:rFonts w:ascii="Times New Roman" w:hAnsi="Times New Roman" w:eastAsia="黑体" w:cs="Times New Roman"/>
                <w:snapToGrid w:val="0"/>
                <w:kern w:val="21"/>
                <w:szCs w:val="21"/>
              </w:rPr>
            </w:pPr>
            <w:r>
              <w:rPr>
                <w:rFonts w:ascii="Times New Roman" w:hAnsi="Times New Roman" w:eastAsia="黑体" w:cs="Times New Roman"/>
                <w:snapToGrid w:val="0"/>
                <w:kern w:val="21"/>
                <w:szCs w:val="21"/>
              </w:rPr>
              <w:t>1t/a</w:t>
            </w:r>
          </w:p>
        </w:tc>
        <w:tc>
          <w:tcPr>
            <w:tcW w:w="1417" w:type="dxa"/>
            <w:vAlign w:val="center"/>
          </w:tcPr>
          <w:p>
            <w:pPr>
              <w:adjustRightInd w:val="0"/>
              <w:snapToGrid w:val="0"/>
              <w:jc w:val="center"/>
              <w:rPr>
                <w:rFonts w:ascii="Times New Roman" w:hAnsi="Times New Roman" w:eastAsia="黑体" w:cs="Times New Roman"/>
                <w:snapToGrid w:val="0"/>
                <w:kern w:val="21"/>
                <w:szCs w:val="21"/>
              </w:rPr>
            </w:pPr>
          </w:p>
        </w:tc>
        <w:tc>
          <w:tcPr>
            <w:tcW w:w="1843" w:type="dxa"/>
            <w:vAlign w:val="center"/>
          </w:tcPr>
          <w:p>
            <w:pPr>
              <w:adjustRightInd w:val="0"/>
              <w:snapToGrid w:val="0"/>
              <w:jc w:val="center"/>
              <w:rPr>
                <w:rFonts w:ascii="Times New Roman" w:hAnsi="Times New Roman" w:eastAsia="黑体" w:cs="Times New Roman"/>
                <w:snapToGrid w:val="0"/>
                <w:kern w:val="21"/>
                <w:szCs w:val="21"/>
              </w:rPr>
            </w:pPr>
            <w:r>
              <w:rPr>
                <w:rFonts w:ascii="Times New Roman" w:hAnsi="Times New Roman" w:eastAsia="黑体" w:cs="Times New Roman"/>
                <w:snapToGrid w:val="0"/>
                <w:kern w:val="21"/>
                <w:szCs w:val="21"/>
              </w:rPr>
              <w:t>3</w:t>
            </w:r>
            <w:bookmarkStart w:id="337" w:name="OLE_LINK310"/>
            <w:bookmarkStart w:id="338" w:name="OLE_LINK307"/>
            <w:r>
              <w:rPr>
                <w:rFonts w:ascii="Times New Roman" w:hAnsi="Times New Roman" w:eastAsia="黑体" w:cs="Times New Roman"/>
                <w:snapToGrid w:val="0"/>
                <w:kern w:val="21"/>
                <w:szCs w:val="21"/>
              </w:rPr>
              <w:t>t/a</w:t>
            </w:r>
            <w:bookmarkEnd w:id="337"/>
            <w:bookmarkEnd w:id="338"/>
          </w:p>
        </w:tc>
        <w:tc>
          <w:tcPr>
            <w:tcW w:w="1569" w:type="dxa"/>
            <w:vAlign w:val="center"/>
          </w:tcPr>
          <w:p>
            <w:pPr>
              <w:adjustRightInd w:val="0"/>
              <w:snapToGrid w:val="0"/>
              <w:jc w:val="center"/>
              <w:rPr>
                <w:rFonts w:ascii="Times New Roman" w:hAnsi="Times New Roman" w:eastAsia="黑体" w:cs="Times New Roman"/>
                <w:snapToGrid w:val="0"/>
                <w:kern w:val="21"/>
                <w:szCs w:val="21"/>
              </w:rPr>
            </w:pPr>
            <w:r>
              <w:rPr>
                <w:rFonts w:ascii="Times New Roman" w:hAnsi="Times New Roman" w:eastAsia="黑体" w:cs="Times New Roman"/>
                <w:snapToGrid w:val="0"/>
                <w:kern w:val="21"/>
                <w:szCs w:val="21"/>
              </w:rPr>
              <w:t>+1t/a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pPr>
              <w:adjustRightInd w:val="0"/>
              <w:snapToGrid w:val="0"/>
              <w:jc w:val="center"/>
              <w:rPr>
                <w:rFonts w:ascii="Times New Roman" w:hAnsi="Times New Roman" w:eastAsia="黑体" w:cs="Times New Roman"/>
                <w:snapToGrid w:val="0"/>
                <w:kern w:val="21"/>
                <w:szCs w:val="21"/>
              </w:rPr>
            </w:pPr>
          </w:p>
        </w:tc>
        <w:tc>
          <w:tcPr>
            <w:tcW w:w="1559" w:type="dxa"/>
          </w:tcPr>
          <w:p>
            <w:pPr>
              <w:adjustRightInd w:val="0"/>
              <w:snapToGrid w:val="0"/>
              <w:jc w:val="center"/>
              <w:rPr>
                <w:rFonts w:ascii="Times New Roman" w:hAnsi="Times New Roman" w:eastAsia="黑体" w:cs="Times New Roman"/>
                <w:snapToGrid w:val="0"/>
                <w:kern w:val="21"/>
                <w:szCs w:val="21"/>
              </w:rPr>
            </w:pPr>
            <w:r>
              <w:rPr>
                <w:rFonts w:ascii="Times New Roman" w:hAnsi="Times New Roman" w:eastAsia="黑体" w:cs="Times New Roman"/>
              </w:rPr>
              <w:t>废机油桶</w:t>
            </w:r>
          </w:p>
        </w:tc>
        <w:tc>
          <w:tcPr>
            <w:tcW w:w="1276" w:type="dxa"/>
            <w:vAlign w:val="center"/>
          </w:tcPr>
          <w:p>
            <w:pPr>
              <w:adjustRightInd w:val="0"/>
              <w:snapToGrid w:val="0"/>
              <w:jc w:val="center"/>
              <w:rPr>
                <w:rFonts w:ascii="Times New Roman" w:hAnsi="Times New Roman" w:eastAsia="黑体" w:cs="Times New Roman"/>
                <w:snapToGrid w:val="0"/>
                <w:kern w:val="21"/>
                <w:szCs w:val="21"/>
              </w:rPr>
            </w:pPr>
          </w:p>
        </w:tc>
        <w:tc>
          <w:tcPr>
            <w:tcW w:w="1134" w:type="dxa"/>
            <w:vAlign w:val="center"/>
          </w:tcPr>
          <w:p>
            <w:pPr>
              <w:adjustRightInd w:val="0"/>
              <w:snapToGrid w:val="0"/>
              <w:jc w:val="center"/>
              <w:rPr>
                <w:rFonts w:ascii="Times New Roman" w:hAnsi="Times New Roman" w:eastAsia="黑体" w:cs="Times New Roman"/>
                <w:snapToGrid w:val="0"/>
                <w:kern w:val="21"/>
                <w:szCs w:val="21"/>
              </w:rPr>
            </w:pPr>
            <w:r>
              <w:rPr>
                <w:rFonts w:ascii="Times New Roman" w:hAnsi="Times New Roman" w:eastAsia="黑体" w:cs="Times New Roman"/>
                <w:snapToGrid w:val="0"/>
                <w:kern w:val="21"/>
                <w:szCs w:val="21"/>
              </w:rPr>
              <w:t>0.1</w:t>
            </w:r>
          </w:p>
        </w:tc>
        <w:tc>
          <w:tcPr>
            <w:tcW w:w="1984" w:type="dxa"/>
            <w:vAlign w:val="center"/>
          </w:tcPr>
          <w:p>
            <w:pPr>
              <w:adjustRightInd w:val="0"/>
              <w:snapToGrid w:val="0"/>
              <w:jc w:val="center"/>
              <w:rPr>
                <w:rFonts w:ascii="Times New Roman" w:hAnsi="Times New Roman" w:eastAsia="黑体" w:cs="Times New Roman"/>
                <w:snapToGrid w:val="0"/>
                <w:kern w:val="21"/>
                <w:szCs w:val="21"/>
              </w:rPr>
            </w:pPr>
          </w:p>
        </w:tc>
        <w:tc>
          <w:tcPr>
            <w:tcW w:w="1418" w:type="dxa"/>
            <w:vAlign w:val="center"/>
          </w:tcPr>
          <w:p>
            <w:pPr>
              <w:adjustRightInd w:val="0"/>
              <w:snapToGrid w:val="0"/>
              <w:jc w:val="center"/>
              <w:rPr>
                <w:rFonts w:ascii="Times New Roman" w:hAnsi="Times New Roman" w:eastAsia="黑体" w:cs="Times New Roman"/>
                <w:snapToGrid w:val="0"/>
                <w:kern w:val="21"/>
                <w:szCs w:val="21"/>
              </w:rPr>
            </w:pPr>
            <w:r>
              <w:rPr>
                <w:rFonts w:ascii="Times New Roman" w:hAnsi="Times New Roman" w:eastAsia="黑体" w:cs="Times New Roman"/>
                <w:snapToGrid w:val="0"/>
                <w:kern w:val="21"/>
                <w:szCs w:val="21"/>
              </w:rPr>
              <w:t>0.05t/a</w:t>
            </w:r>
          </w:p>
        </w:tc>
        <w:tc>
          <w:tcPr>
            <w:tcW w:w="1417" w:type="dxa"/>
            <w:vAlign w:val="center"/>
          </w:tcPr>
          <w:p>
            <w:pPr>
              <w:adjustRightInd w:val="0"/>
              <w:snapToGrid w:val="0"/>
              <w:jc w:val="center"/>
              <w:rPr>
                <w:rFonts w:ascii="Times New Roman" w:hAnsi="Times New Roman" w:eastAsia="黑体" w:cs="Times New Roman"/>
                <w:snapToGrid w:val="0"/>
                <w:kern w:val="21"/>
                <w:szCs w:val="21"/>
              </w:rPr>
            </w:pPr>
          </w:p>
        </w:tc>
        <w:tc>
          <w:tcPr>
            <w:tcW w:w="1843" w:type="dxa"/>
            <w:vAlign w:val="center"/>
          </w:tcPr>
          <w:p>
            <w:pPr>
              <w:adjustRightInd w:val="0"/>
              <w:snapToGrid w:val="0"/>
              <w:jc w:val="center"/>
              <w:rPr>
                <w:rFonts w:ascii="Times New Roman" w:hAnsi="Times New Roman" w:eastAsia="黑体" w:cs="Times New Roman"/>
                <w:snapToGrid w:val="0"/>
                <w:kern w:val="21"/>
                <w:szCs w:val="21"/>
              </w:rPr>
            </w:pPr>
            <w:r>
              <w:rPr>
                <w:rFonts w:ascii="Times New Roman" w:hAnsi="Times New Roman" w:eastAsia="黑体" w:cs="Times New Roman"/>
                <w:snapToGrid w:val="0"/>
                <w:kern w:val="21"/>
                <w:szCs w:val="21"/>
              </w:rPr>
              <w:t>0.15t/a</w:t>
            </w:r>
          </w:p>
        </w:tc>
        <w:tc>
          <w:tcPr>
            <w:tcW w:w="1569" w:type="dxa"/>
            <w:vAlign w:val="center"/>
          </w:tcPr>
          <w:p>
            <w:pPr>
              <w:adjustRightInd w:val="0"/>
              <w:snapToGrid w:val="0"/>
              <w:jc w:val="center"/>
              <w:rPr>
                <w:rFonts w:ascii="Times New Roman" w:hAnsi="Times New Roman" w:eastAsia="黑体" w:cs="Times New Roman"/>
                <w:snapToGrid w:val="0"/>
                <w:kern w:val="21"/>
                <w:szCs w:val="21"/>
              </w:rPr>
            </w:pPr>
            <w:bookmarkStart w:id="339" w:name="OLE_LINK317"/>
            <w:bookmarkStart w:id="340" w:name="OLE_LINK316"/>
            <w:r>
              <w:rPr>
                <w:rFonts w:ascii="Times New Roman" w:hAnsi="Times New Roman" w:eastAsia="黑体" w:cs="Times New Roman"/>
                <w:snapToGrid w:val="0"/>
                <w:kern w:val="21"/>
                <w:szCs w:val="21"/>
              </w:rPr>
              <w:t>+</w:t>
            </w:r>
            <w:bookmarkEnd w:id="339"/>
            <w:bookmarkEnd w:id="340"/>
            <w:r>
              <w:rPr>
                <w:rFonts w:ascii="Times New Roman" w:hAnsi="Times New Roman" w:eastAsia="黑体" w:cs="Times New Roman"/>
                <w:snapToGrid w:val="0"/>
                <w:kern w:val="21"/>
                <w:szCs w:val="21"/>
              </w:rPr>
              <w:t>0.05t/a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pPr>
              <w:adjustRightInd w:val="0"/>
              <w:snapToGrid w:val="0"/>
              <w:jc w:val="center"/>
              <w:rPr>
                <w:rFonts w:ascii="Times New Roman" w:hAnsi="Times New Roman" w:eastAsia="黑体" w:cs="Times New Roman"/>
                <w:snapToGrid w:val="0"/>
                <w:kern w:val="21"/>
                <w:szCs w:val="21"/>
              </w:rPr>
            </w:pPr>
            <w:r>
              <w:rPr>
                <w:rFonts w:hint="eastAsia" w:ascii="Times New Roman" w:hAnsi="Times New Roman" w:eastAsia="黑体" w:cs="Times New Roman"/>
                <w:snapToGrid w:val="0"/>
                <w:kern w:val="21"/>
                <w:szCs w:val="21"/>
              </w:rPr>
              <w:t>一般固废</w:t>
            </w:r>
          </w:p>
        </w:tc>
        <w:tc>
          <w:tcPr>
            <w:tcW w:w="1559" w:type="dxa"/>
          </w:tcPr>
          <w:p>
            <w:pPr>
              <w:adjustRightInd w:val="0"/>
              <w:snapToGrid w:val="0"/>
              <w:jc w:val="center"/>
              <w:rPr>
                <w:rFonts w:ascii="Times New Roman" w:hAnsi="Times New Roman" w:eastAsia="黑体" w:cs="Times New Roman"/>
              </w:rPr>
            </w:pPr>
            <w:r>
              <w:rPr>
                <w:rFonts w:hint="eastAsia" w:ascii="Times New Roman" w:hAnsi="Times New Roman" w:eastAsia="黑体" w:cs="Times New Roman"/>
              </w:rPr>
              <w:t>循环池底泥</w:t>
            </w:r>
          </w:p>
        </w:tc>
        <w:tc>
          <w:tcPr>
            <w:tcW w:w="1276" w:type="dxa"/>
            <w:vAlign w:val="center"/>
          </w:tcPr>
          <w:p>
            <w:pPr>
              <w:adjustRightInd w:val="0"/>
              <w:snapToGrid w:val="0"/>
              <w:jc w:val="center"/>
              <w:rPr>
                <w:rFonts w:ascii="Times New Roman" w:hAnsi="Times New Roman" w:eastAsia="黑体" w:cs="Times New Roman"/>
                <w:snapToGrid w:val="0"/>
                <w:kern w:val="21"/>
                <w:szCs w:val="21"/>
              </w:rPr>
            </w:pPr>
          </w:p>
        </w:tc>
        <w:tc>
          <w:tcPr>
            <w:tcW w:w="1134" w:type="dxa"/>
            <w:vAlign w:val="center"/>
          </w:tcPr>
          <w:p>
            <w:pPr>
              <w:adjustRightInd w:val="0"/>
              <w:snapToGrid w:val="0"/>
              <w:jc w:val="center"/>
              <w:rPr>
                <w:rFonts w:ascii="Times New Roman" w:hAnsi="Times New Roman" w:eastAsia="黑体" w:cs="Times New Roman"/>
                <w:snapToGrid w:val="0"/>
                <w:kern w:val="21"/>
                <w:szCs w:val="21"/>
              </w:rPr>
            </w:pPr>
          </w:p>
        </w:tc>
        <w:tc>
          <w:tcPr>
            <w:tcW w:w="1984" w:type="dxa"/>
            <w:vAlign w:val="center"/>
          </w:tcPr>
          <w:p>
            <w:pPr>
              <w:adjustRightInd w:val="0"/>
              <w:snapToGrid w:val="0"/>
              <w:jc w:val="center"/>
              <w:rPr>
                <w:rFonts w:ascii="Times New Roman" w:hAnsi="Times New Roman" w:eastAsia="黑体" w:cs="Times New Roman"/>
                <w:snapToGrid w:val="0"/>
                <w:kern w:val="21"/>
                <w:szCs w:val="21"/>
              </w:rPr>
            </w:pPr>
          </w:p>
        </w:tc>
        <w:tc>
          <w:tcPr>
            <w:tcW w:w="1418" w:type="dxa"/>
            <w:vAlign w:val="center"/>
          </w:tcPr>
          <w:p>
            <w:pPr>
              <w:adjustRightInd w:val="0"/>
              <w:snapToGrid w:val="0"/>
              <w:jc w:val="center"/>
              <w:rPr>
                <w:rFonts w:ascii="Times New Roman" w:hAnsi="Times New Roman" w:eastAsia="黑体" w:cs="Times New Roman"/>
                <w:snapToGrid w:val="0"/>
                <w:kern w:val="21"/>
                <w:szCs w:val="21"/>
              </w:rPr>
            </w:pPr>
            <w:r>
              <w:rPr>
                <w:rFonts w:ascii="Times New Roman" w:hAnsi="Times New Roman" w:eastAsia="黑体" w:cs="Times New Roman"/>
                <w:snapToGrid w:val="0"/>
                <w:kern w:val="21"/>
                <w:szCs w:val="21"/>
              </w:rPr>
              <w:t>3 t/a</w:t>
            </w:r>
          </w:p>
        </w:tc>
        <w:tc>
          <w:tcPr>
            <w:tcW w:w="1417" w:type="dxa"/>
            <w:vAlign w:val="center"/>
          </w:tcPr>
          <w:p>
            <w:pPr>
              <w:adjustRightInd w:val="0"/>
              <w:snapToGrid w:val="0"/>
              <w:jc w:val="center"/>
              <w:rPr>
                <w:rFonts w:ascii="Times New Roman" w:hAnsi="Times New Roman" w:eastAsia="黑体" w:cs="Times New Roman"/>
                <w:snapToGrid w:val="0"/>
                <w:kern w:val="21"/>
                <w:szCs w:val="21"/>
              </w:rPr>
            </w:pPr>
          </w:p>
        </w:tc>
        <w:tc>
          <w:tcPr>
            <w:tcW w:w="1843" w:type="dxa"/>
            <w:vAlign w:val="center"/>
          </w:tcPr>
          <w:p>
            <w:pPr>
              <w:adjustRightInd w:val="0"/>
              <w:snapToGrid w:val="0"/>
              <w:jc w:val="center"/>
              <w:rPr>
                <w:rFonts w:ascii="Times New Roman" w:hAnsi="Times New Roman" w:eastAsia="黑体" w:cs="Times New Roman"/>
                <w:snapToGrid w:val="0"/>
                <w:kern w:val="21"/>
                <w:szCs w:val="21"/>
              </w:rPr>
            </w:pPr>
            <w:bookmarkStart w:id="341" w:name="OLE_LINK305"/>
            <w:bookmarkStart w:id="342" w:name="OLE_LINK306"/>
            <w:r>
              <w:rPr>
                <w:rFonts w:ascii="Times New Roman" w:hAnsi="Times New Roman" w:eastAsia="黑体" w:cs="Times New Roman"/>
                <w:snapToGrid w:val="0"/>
                <w:kern w:val="21"/>
                <w:szCs w:val="21"/>
              </w:rPr>
              <w:t>3</w:t>
            </w:r>
            <w:bookmarkEnd w:id="341"/>
            <w:bookmarkEnd w:id="342"/>
            <w:r>
              <w:rPr>
                <w:rFonts w:ascii="Times New Roman" w:hAnsi="Times New Roman" w:eastAsia="黑体" w:cs="Times New Roman"/>
                <w:snapToGrid w:val="0"/>
                <w:kern w:val="21"/>
                <w:szCs w:val="21"/>
              </w:rPr>
              <w:t xml:space="preserve"> t/a</w:t>
            </w:r>
          </w:p>
        </w:tc>
        <w:tc>
          <w:tcPr>
            <w:tcW w:w="1569" w:type="dxa"/>
            <w:vAlign w:val="center"/>
          </w:tcPr>
          <w:p>
            <w:pPr>
              <w:adjustRightInd w:val="0"/>
              <w:snapToGrid w:val="0"/>
              <w:jc w:val="center"/>
              <w:rPr>
                <w:rFonts w:ascii="Times New Roman" w:hAnsi="Times New Roman" w:eastAsia="黑体" w:cs="Times New Roman"/>
                <w:snapToGrid w:val="0"/>
                <w:kern w:val="21"/>
                <w:szCs w:val="21"/>
              </w:rPr>
            </w:pPr>
            <w:r>
              <w:rPr>
                <w:rFonts w:ascii="Times New Roman" w:hAnsi="Times New Roman" w:eastAsia="黑体" w:cs="Times New Roman"/>
                <w:snapToGrid w:val="0"/>
                <w:kern w:val="21"/>
                <w:szCs w:val="21"/>
              </w:rPr>
              <w:t>+3 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pPr>
              <w:adjustRightInd w:val="0"/>
              <w:snapToGrid w:val="0"/>
              <w:jc w:val="center"/>
              <w:rPr>
                <w:rFonts w:ascii="Times New Roman" w:hAnsi="Times New Roman" w:eastAsia="黑体" w:cs="Times New Roman"/>
                <w:snapToGrid w:val="0"/>
                <w:kern w:val="21"/>
                <w:szCs w:val="21"/>
              </w:rPr>
            </w:pPr>
          </w:p>
        </w:tc>
        <w:tc>
          <w:tcPr>
            <w:tcW w:w="1559" w:type="dxa"/>
          </w:tcPr>
          <w:p>
            <w:pPr>
              <w:adjustRightInd w:val="0"/>
              <w:snapToGrid w:val="0"/>
              <w:jc w:val="center"/>
              <w:rPr>
                <w:rFonts w:ascii="Times New Roman" w:hAnsi="Times New Roman" w:eastAsia="黑体" w:cs="Times New Roman"/>
              </w:rPr>
            </w:pPr>
            <w:r>
              <w:rPr>
                <w:rFonts w:hint="eastAsia" w:ascii="Times New Roman" w:hAnsi="Times New Roman" w:eastAsia="黑体" w:cs="Times New Roman"/>
              </w:rPr>
              <w:t>废滤布</w:t>
            </w:r>
          </w:p>
        </w:tc>
        <w:tc>
          <w:tcPr>
            <w:tcW w:w="1276" w:type="dxa"/>
            <w:vAlign w:val="center"/>
          </w:tcPr>
          <w:p>
            <w:pPr>
              <w:adjustRightInd w:val="0"/>
              <w:snapToGrid w:val="0"/>
              <w:jc w:val="center"/>
              <w:rPr>
                <w:rFonts w:ascii="Times New Roman" w:hAnsi="Times New Roman" w:eastAsia="黑体" w:cs="Times New Roman"/>
                <w:snapToGrid w:val="0"/>
                <w:kern w:val="21"/>
                <w:szCs w:val="21"/>
              </w:rPr>
            </w:pPr>
          </w:p>
        </w:tc>
        <w:tc>
          <w:tcPr>
            <w:tcW w:w="1134" w:type="dxa"/>
            <w:vAlign w:val="center"/>
          </w:tcPr>
          <w:p>
            <w:pPr>
              <w:adjustRightInd w:val="0"/>
              <w:snapToGrid w:val="0"/>
              <w:jc w:val="center"/>
              <w:rPr>
                <w:rFonts w:ascii="Times New Roman" w:hAnsi="Times New Roman" w:eastAsia="黑体" w:cs="Times New Roman"/>
                <w:snapToGrid w:val="0"/>
                <w:kern w:val="21"/>
                <w:szCs w:val="21"/>
              </w:rPr>
            </w:pPr>
          </w:p>
        </w:tc>
        <w:tc>
          <w:tcPr>
            <w:tcW w:w="1984" w:type="dxa"/>
            <w:vAlign w:val="center"/>
          </w:tcPr>
          <w:p>
            <w:pPr>
              <w:adjustRightInd w:val="0"/>
              <w:snapToGrid w:val="0"/>
              <w:jc w:val="center"/>
              <w:rPr>
                <w:rFonts w:ascii="Times New Roman" w:hAnsi="Times New Roman" w:eastAsia="黑体" w:cs="Times New Roman"/>
                <w:snapToGrid w:val="0"/>
                <w:kern w:val="21"/>
                <w:szCs w:val="21"/>
              </w:rPr>
            </w:pPr>
          </w:p>
        </w:tc>
        <w:tc>
          <w:tcPr>
            <w:tcW w:w="1418" w:type="dxa"/>
            <w:vAlign w:val="center"/>
          </w:tcPr>
          <w:p>
            <w:pPr>
              <w:adjustRightInd w:val="0"/>
              <w:snapToGrid w:val="0"/>
              <w:jc w:val="center"/>
              <w:rPr>
                <w:rFonts w:ascii="Times New Roman" w:hAnsi="Times New Roman" w:eastAsia="黑体" w:cs="Times New Roman"/>
                <w:snapToGrid w:val="0"/>
                <w:kern w:val="21"/>
                <w:szCs w:val="21"/>
              </w:rPr>
            </w:pPr>
            <w:r>
              <w:rPr>
                <w:rFonts w:hint="eastAsia" w:ascii="Times New Roman" w:hAnsi="Times New Roman" w:eastAsia="黑体" w:cs="Times New Roman"/>
                <w:snapToGrid w:val="0"/>
                <w:kern w:val="21"/>
                <w:szCs w:val="21"/>
              </w:rPr>
              <w:t>0</w:t>
            </w:r>
            <w:r>
              <w:rPr>
                <w:rFonts w:ascii="Times New Roman" w:hAnsi="Times New Roman" w:eastAsia="黑体" w:cs="Times New Roman"/>
                <w:snapToGrid w:val="0"/>
                <w:kern w:val="21"/>
                <w:szCs w:val="21"/>
              </w:rPr>
              <w:t>.1 t/a</w:t>
            </w:r>
          </w:p>
        </w:tc>
        <w:tc>
          <w:tcPr>
            <w:tcW w:w="1417" w:type="dxa"/>
            <w:vAlign w:val="center"/>
          </w:tcPr>
          <w:p>
            <w:pPr>
              <w:adjustRightInd w:val="0"/>
              <w:snapToGrid w:val="0"/>
              <w:jc w:val="center"/>
              <w:rPr>
                <w:rFonts w:ascii="Times New Roman" w:hAnsi="Times New Roman" w:eastAsia="黑体" w:cs="Times New Roman"/>
                <w:snapToGrid w:val="0"/>
                <w:kern w:val="21"/>
                <w:szCs w:val="21"/>
              </w:rPr>
            </w:pPr>
          </w:p>
        </w:tc>
        <w:tc>
          <w:tcPr>
            <w:tcW w:w="1843" w:type="dxa"/>
            <w:vAlign w:val="center"/>
          </w:tcPr>
          <w:p>
            <w:pPr>
              <w:adjustRightInd w:val="0"/>
              <w:snapToGrid w:val="0"/>
              <w:jc w:val="center"/>
              <w:rPr>
                <w:rFonts w:ascii="Times New Roman" w:hAnsi="Times New Roman" w:eastAsia="黑体" w:cs="Times New Roman"/>
                <w:snapToGrid w:val="0"/>
                <w:kern w:val="21"/>
                <w:szCs w:val="21"/>
              </w:rPr>
            </w:pPr>
            <w:bookmarkStart w:id="343" w:name="OLE_LINK313"/>
            <w:bookmarkStart w:id="344" w:name="OLE_LINK311"/>
            <w:r>
              <w:rPr>
                <w:rFonts w:hint="eastAsia" w:ascii="Times New Roman" w:hAnsi="Times New Roman" w:eastAsia="黑体" w:cs="Times New Roman"/>
                <w:snapToGrid w:val="0"/>
                <w:kern w:val="21"/>
                <w:szCs w:val="21"/>
              </w:rPr>
              <w:t>0</w:t>
            </w:r>
            <w:r>
              <w:rPr>
                <w:rFonts w:ascii="Times New Roman" w:hAnsi="Times New Roman" w:eastAsia="黑体" w:cs="Times New Roman"/>
                <w:snapToGrid w:val="0"/>
                <w:kern w:val="21"/>
                <w:szCs w:val="21"/>
              </w:rPr>
              <w:t>.1 t/a</w:t>
            </w:r>
            <w:bookmarkEnd w:id="343"/>
            <w:bookmarkEnd w:id="344"/>
          </w:p>
        </w:tc>
        <w:tc>
          <w:tcPr>
            <w:tcW w:w="1569" w:type="dxa"/>
            <w:vAlign w:val="center"/>
          </w:tcPr>
          <w:p>
            <w:pPr>
              <w:adjustRightInd w:val="0"/>
              <w:snapToGrid w:val="0"/>
              <w:jc w:val="center"/>
              <w:rPr>
                <w:rFonts w:ascii="Times New Roman" w:hAnsi="Times New Roman" w:eastAsia="黑体" w:cs="Times New Roman"/>
                <w:snapToGrid w:val="0"/>
                <w:kern w:val="21"/>
                <w:szCs w:val="21"/>
              </w:rPr>
            </w:pPr>
            <w:r>
              <w:rPr>
                <w:rFonts w:ascii="Times New Roman" w:hAnsi="Times New Roman" w:eastAsia="黑体" w:cs="Times New Roman"/>
                <w:snapToGrid w:val="0"/>
                <w:kern w:val="21"/>
                <w:szCs w:val="21"/>
              </w:rPr>
              <w:t>+</w:t>
            </w:r>
            <w:r>
              <w:rPr>
                <w:rFonts w:hint="eastAsia" w:ascii="Times New Roman" w:hAnsi="Times New Roman" w:eastAsia="黑体" w:cs="Times New Roman"/>
                <w:snapToGrid w:val="0"/>
                <w:kern w:val="21"/>
                <w:szCs w:val="21"/>
              </w:rPr>
              <w:t>0</w:t>
            </w:r>
            <w:r>
              <w:rPr>
                <w:rFonts w:ascii="Times New Roman" w:hAnsi="Times New Roman" w:eastAsia="黑体" w:cs="Times New Roman"/>
                <w:snapToGrid w:val="0"/>
                <w:kern w:val="21"/>
                <w:szCs w:val="21"/>
              </w:rPr>
              <w:t>.1 t/a</w:t>
            </w:r>
          </w:p>
        </w:tc>
      </w:tr>
    </w:tbl>
    <w:p>
      <w:pPr>
        <w:widowControl/>
        <w:adjustRightInd w:val="0"/>
        <w:snapToGrid w:val="0"/>
        <w:spacing w:line="648" w:lineRule="auto"/>
        <w:jc w:val="center"/>
        <w:outlineLvl w:val="0"/>
        <w:rPr>
          <w:rFonts w:ascii="方正小标宋_GBK" w:hAnsi="黑体" w:eastAsia="方正小标宋_GBK" w:cs="Times New Roman"/>
          <w:snapToGrid w:val="0"/>
          <w:kern w:val="0"/>
          <w:sz w:val="38"/>
          <w:szCs w:val="38"/>
        </w:rPr>
      </w:pPr>
      <w:r>
        <w:rPr>
          <w:rFonts w:hint="eastAsia" w:ascii="方正小标宋_GBK" w:hAnsi="黑体" w:eastAsia="方正小标宋_GBK" w:cs="Times New Roman"/>
          <w:snapToGrid w:val="0"/>
          <w:kern w:val="0"/>
          <w:sz w:val="38"/>
          <w:szCs w:val="38"/>
        </w:rPr>
        <w:t>建设项目污染物排放量汇总表</w:t>
      </w:r>
    </w:p>
    <w:p>
      <w:pPr>
        <w:adjustRightInd w:val="0"/>
        <w:snapToGrid w:val="0"/>
        <w:spacing w:before="249" w:beforeLines="80" w:after="31" w:afterLines="10" w:line="259" w:lineRule="auto"/>
        <w:jc w:val="left"/>
        <w:rPr>
          <w:rFonts w:ascii="宋体" w:hAnsi="宋体" w:eastAsia="宋体" w:cs="Times New Roman"/>
          <w:snapToGrid w:val="0"/>
          <w:spacing w:val="-6"/>
          <w:kern w:val="21"/>
          <w:szCs w:val="21"/>
        </w:rPr>
        <w:sectPr>
          <w:footerReference r:id="rId8" w:type="default"/>
          <w:pgSz w:w="16838" w:h="11906" w:orient="landscape"/>
          <w:pgMar w:top="1800" w:right="1440" w:bottom="1800" w:left="1440" w:header="851" w:footer="992" w:gutter="0"/>
          <w:cols w:space="425" w:num="1"/>
          <w:docGrid w:type="lines" w:linePitch="312" w:charSpace="0"/>
        </w:sectPr>
      </w:pPr>
      <w:r>
        <w:rPr>
          <w:rFonts w:ascii="宋体" w:hAnsi="宋体" w:eastAsia="宋体" w:cs="Times New Roman"/>
          <w:snapToGrid w:val="0"/>
          <w:kern w:val="21"/>
          <w:szCs w:val="21"/>
        </w:rPr>
        <w:t>注：</w:t>
      </w:r>
      <w:r>
        <w:rPr>
          <w:rFonts w:ascii="宋体" w:hAnsi="宋体" w:eastAsia="宋体" w:cs="Times New Roman"/>
          <w:snapToGrid w:val="0"/>
          <w:spacing w:val="-16"/>
          <w:kern w:val="21"/>
          <w:szCs w:val="21"/>
        </w:rPr>
        <w:fldChar w:fldCharType="begin"/>
      </w:r>
      <w:r>
        <w:rPr>
          <w:rFonts w:ascii="宋体" w:hAnsi="宋体" w:eastAsia="宋体" w:cs="Times New Roman"/>
          <w:snapToGrid w:val="0"/>
          <w:spacing w:val="-16"/>
          <w:kern w:val="21"/>
          <w:szCs w:val="21"/>
        </w:rPr>
        <w:instrText xml:space="preserve"> = 6 \* GB3 \* MERGEFORMAT </w:instrText>
      </w:r>
      <w:r>
        <w:rPr>
          <w:rFonts w:ascii="宋体" w:hAnsi="宋体" w:eastAsia="宋体" w:cs="Times New Roman"/>
          <w:snapToGrid w:val="0"/>
          <w:spacing w:val="-16"/>
          <w:kern w:val="21"/>
          <w:szCs w:val="21"/>
        </w:rPr>
        <w:fldChar w:fldCharType="separate"/>
      </w:r>
      <w:r>
        <w:rPr>
          <w:rFonts w:hint="eastAsia" w:ascii="宋体" w:hAnsi="宋体" w:eastAsia="宋体" w:cs="Times New Roman"/>
          <w:kern w:val="0"/>
          <w:szCs w:val="21"/>
        </w:rPr>
        <w:t>⑥</w:t>
      </w:r>
      <w:r>
        <w:rPr>
          <w:rFonts w:ascii="宋体" w:hAnsi="宋体" w:eastAsia="宋体" w:cs="Times New Roman"/>
          <w:snapToGrid w:val="0"/>
          <w:spacing w:val="-16"/>
          <w:kern w:val="21"/>
          <w:szCs w:val="21"/>
        </w:rPr>
        <w:fldChar w:fldCharType="end"/>
      </w:r>
      <w:r>
        <w:rPr>
          <w:rFonts w:ascii="宋体" w:hAnsi="宋体" w:eastAsia="宋体" w:cs="Times New Roman"/>
          <w:snapToGrid w:val="0"/>
          <w:spacing w:val="-16"/>
          <w:kern w:val="21"/>
          <w:szCs w:val="21"/>
        </w:rPr>
        <w:t>=</w:t>
      </w:r>
      <w:r>
        <w:rPr>
          <w:rFonts w:ascii="宋体" w:hAnsi="宋体" w:eastAsia="宋体" w:cs="Times New Roman"/>
          <w:snapToGrid w:val="0"/>
          <w:spacing w:val="-6"/>
          <w:kern w:val="21"/>
          <w:szCs w:val="21"/>
        </w:rPr>
        <w:fldChar w:fldCharType="begin"/>
      </w:r>
      <w:r>
        <w:rPr>
          <w:rFonts w:ascii="宋体" w:hAnsi="宋体" w:eastAsia="宋体" w:cs="Times New Roman"/>
          <w:snapToGrid w:val="0"/>
          <w:spacing w:val="-6"/>
          <w:kern w:val="21"/>
          <w:szCs w:val="21"/>
        </w:rPr>
        <w:instrText xml:space="preserve"> = 1 \* GB3 \* MERGEFORMAT </w:instrText>
      </w:r>
      <w:r>
        <w:rPr>
          <w:rFonts w:ascii="宋体" w:hAnsi="宋体" w:eastAsia="宋体" w:cs="Times New Roman"/>
          <w:snapToGrid w:val="0"/>
          <w:spacing w:val="-6"/>
          <w:kern w:val="21"/>
          <w:szCs w:val="21"/>
        </w:rPr>
        <w:fldChar w:fldCharType="separate"/>
      </w:r>
      <w:r>
        <w:rPr>
          <w:rFonts w:hint="eastAsia" w:ascii="宋体" w:hAnsi="宋体" w:eastAsia="宋体" w:cs="Times New Roman"/>
          <w:kern w:val="0"/>
          <w:szCs w:val="21"/>
        </w:rPr>
        <w:t>①</w:t>
      </w:r>
      <w:r>
        <w:rPr>
          <w:rFonts w:ascii="宋体" w:hAnsi="宋体" w:eastAsia="宋体" w:cs="Times New Roman"/>
          <w:snapToGrid w:val="0"/>
          <w:spacing w:val="-6"/>
          <w:kern w:val="21"/>
          <w:szCs w:val="21"/>
        </w:rPr>
        <w:fldChar w:fldCharType="end"/>
      </w:r>
      <w:r>
        <w:rPr>
          <w:rFonts w:ascii="宋体" w:hAnsi="宋体" w:eastAsia="宋体" w:cs="Times New Roman"/>
          <w:snapToGrid w:val="0"/>
          <w:spacing w:val="-6"/>
          <w:kern w:val="21"/>
          <w:szCs w:val="21"/>
        </w:rPr>
        <w:t>+</w:t>
      </w:r>
      <w:r>
        <w:rPr>
          <w:rFonts w:ascii="宋体" w:hAnsi="宋体" w:eastAsia="宋体" w:cs="Times New Roman"/>
          <w:snapToGrid w:val="0"/>
          <w:spacing w:val="-6"/>
          <w:kern w:val="21"/>
          <w:szCs w:val="21"/>
        </w:rPr>
        <w:fldChar w:fldCharType="begin"/>
      </w:r>
      <w:r>
        <w:rPr>
          <w:rFonts w:ascii="宋体" w:hAnsi="宋体" w:eastAsia="宋体" w:cs="Times New Roman"/>
          <w:snapToGrid w:val="0"/>
          <w:spacing w:val="-6"/>
          <w:kern w:val="21"/>
          <w:szCs w:val="21"/>
        </w:rPr>
        <w:instrText xml:space="preserve"> = 3 \* GB3 \* MERGEFORMAT </w:instrText>
      </w:r>
      <w:r>
        <w:rPr>
          <w:rFonts w:ascii="宋体" w:hAnsi="宋体" w:eastAsia="宋体" w:cs="Times New Roman"/>
          <w:snapToGrid w:val="0"/>
          <w:spacing w:val="-6"/>
          <w:kern w:val="21"/>
          <w:szCs w:val="21"/>
        </w:rPr>
        <w:fldChar w:fldCharType="separate"/>
      </w:r>
      <w:r>
        <w:rPr>
          <w:rFonts w:hint="eastAsia" w:ascii="宋体" w:hAnsi="宋体" w:eastAsia="宋体" w:cs="Times New Roman"/>
          <w:kern w:val="0"/>
          <w:szCs w:val="21"/>
        </w:rPr>
        <w:t>③</w:t>
      </w:r>
      <w:r>
        <w:rPr>
          <w:rFonts w:ascii="宋体" w:hAnsi="宋体" w:eastAsia="宋体" w:cs="Times New Roman"/>
          <w:snapToGrid w:val="0"/>
          <w:spacing w:val="-6"/>
          <w:kern w:val="21"/>
          <w:szCs w:val="21"/>
        </w:rPr>
        <w:fldChar w:fldCharType="end"/>
      </w:r>
      <w:r>
        <w:rPr>
          <w:rFonts w:ascii="宋体" w:hAnsi="宋体" w:eastAsia="宋体" w:cs="Times New Roman"/>
          <w:snapToGrid w:val="0"/>
          <w:spacing w:val="-6"/>
          <w:kern w:val="21"/>
          <w:szCs w:val="21"/>
        </w:rPr>
        <w:t>+</w:t>
      </w:r>
      <w:r>
        <w:rPr>
          <w:rFonts w:ascii="宋体" w:hAnsi="宋体" w:eastAsia="宋体" w:cs="Times New Roman"/>
          <w:snapToGrid w:val="0"/>
          <w:spacing w:val="-6"/>
          <w:kern w:val="21"/>
          <w:szCs w:val="21"/>
        </w:rPr>
        <w:fldChar w:fldCharType="begin"/>
      </w:r>
      <w:r>
        <w:rPr>
          <w:rFonts w:ascii="宋体" w:hAnsi="宋体" w:eastAsia="宋体" w:cs="Times New Roman"/>
          <w:snapToGrid w:val="0"/>
          <w:spacing w:val="-6"/>
          <w:kern w:val="21"/>
          <w:szCs w:val="21"/>
        </w:rPr>
        <w:instrText xml:space="preserve"> = 4 \* GB3 \* MERGEFORMAT </w:instrText>
      </w:r>
      <w:r>
        <w:rPr>
          <w:rFonts w:ascii="宋体" w:hAnsi="宋体" w:eastAsia="宋体" w:cs="Times New Roman"/>
          <w:snapToGrid w:val="0"/>
          <w:spacing w:val="-6"/>
          <w:kern w:val="21"/>
          <w:szCs w:val="21"/>
        </w:rPr>
        <w:fldChar w:fldCharType="separate"/>
      </w:r>
      <w:r>
        <w:rPr>
          <w:rFonts w:hint="eastAsia" w:ascii="宋体" w:hAnsi="宋体" w:eastAsia="宋体" w:cs="Times New Roman"/>
          <w:kern w:val="0"/>
          <w:szCs w:val="21"/>
        </w:rPr>
        <w:t>④</w:t>
      </w:r>
      <w:r>
        <w:rPr>
          <w:rFonts w:ascii="宋体" w:hAnsi="宋体" w:eastAsia="宋体" w:cs="Times New Roman"/>
          <w:snapToGrid w:val="0"/>
          <w:spacing w:val="-6"/>
          <w:kern w:val="21"/>
          <w:szCs w:val="21"/>
        </w:rPr>
        <w:fldChar w:fldCharType="end"/>
      </w:r>
      <w:r>
        <w:rPr>
          <w:rFonts w:ascii="宋体" w:hAnsi="宋体" w:eastAsia="宋体" w:cs="Times New Roman"/>
          <w:snapToGrid w:val="0"/>
          <w:spacing w:val="-6"/>
          <w:kern w:val="21"/>
          <w:szCs w:val="21"/>
        </w:rPr>
        <w:t>-</w:t>
      </w:r>
      <w:r>
        <w:rPr>
          <w:rFonts w:ascii="宋体" w:hAnsi="宋体" w:eastAsia="宋体" w:cs="Times New Roman"/>
          <w:snapToGrid w:val="0"/>
          <w:spacing w:val="-16"/>
          <w:kern w:val="21"/>
          <w:szCs w:val="21"/>
        </w:rPr>
        <w:fldChar w:fldCharType="begin"/>
      </w:r>
      <w:r>
        <w:rPr>
          <w:rFonts w:ascii="宋体" w:hAnsi="宋体" w:eastAsia="宋体" w:cs="Times New Roman"/>
          <w:snapToGrid w:val="0"/>
          <w:spacing w:val="-16"/>
          <w:kern w:val="21"/>
          <w:szCs w:val="21"/>
        </w:rPr>
        <w:instrText xml:space="preserve"> = 5 \* GB3 \* MERGEFORMAT </w:instrText>
      </w:r>
      <w:r>
        <w:rPr>
          <w:rFonts w:ascii="宋体" w:hAnsi="宋体" w:eastAsia="宋体" w:cs="Times New Roman"/>
          <w:snapToGrid w:val="0"/>
          <w:spacing w:val="-16"/>
          <w:kern w:val="21"/>
          <w:szCs w:val="21"/>
        </w:rPr>
        <w:fldChar w:fldCharType="separate"/>
      </w:r>
      <w:r>
        <w:rPr>
          <w:rFonts w:hint="eastAsia" w:ascii="宋体" w:hAnsi="宋体" w:eastAsia="宋体" w:cs="Times New Roman"/>
          <w:kern w:val="0"/>
          <w:szCs w:val="21"/>
        </w:rPr>
        <w:t>⑤</w:t>
      </w:r>
      <w:r>
        <w:rPr>
          <w:rFonts w:ascii="宋体" w:hAnsi="宋体" w:eastAsia="宋体" w:cs="Times New Roman"/>
          <w:snapToGrid w:val="0"/>
          <w:spacing w:val="-16"/>
          <w:kern w:val="21"/>
          <w:szCs w:val="21"/>
        </w:rPr>
        <w:fldChar w:fldCharType="end"/>
      </w:r>
      <w:r>
        <w:rPr>
          <w:rFonts w:ascii="宋体" w:hAnsi="宋体" w:eastAsia="宋体" w:cs="Times New Roman"/>
          <w:snapToGrid w:val="0"/>
          <w:spacing w:val="-16"/>
          <w:kern w:val="21"/>
          <w:szCs w:val="21"/>
        </w:rPr>
        <w:t>；</w:t>
      </w:r>
      <w:r>
        <w:rPr>
          <w:rFonts w:ascii="宋体" w:hAnsi="宋体" w:eastAsia="宋体" w:cs="Times New Roman"/>
          <w:snapToGrid w:val="0"/>
          <w:spacing w:val="-6"/>
          <w:kern w:val="21"/>
          <w:szCs w:val="21"/>
        </w:rPr>
        <w:fldChar w:fldCharType="begin"/>
      </w:r>
      <w:r>
        <w:rPr>
          <w:rFonts w:ascii="宋体" w:hAnsi="宋体" w:eastAsia="宋体" w:cs="Times New Roman"/>
          <w:snapToGrid w:val="0"/>
          <w:spacing w:val="-6"/>
          <w:kern w:val="21"/>
          <w:szCs w:val="21"/>
        </w:rPr>
        <w:instrText xml:space="preserve"> = 7 \* GB3 \* MERGEFORMAT </w:instrText>
      </w:r>
      <w:r>
        <w:rPr>
          <w:rFonts w:ascii="宋体" w:hAnsi="宋体" w:eastAsia="宋体" w:cs="Times New Roman"/>
          <w:snapToGrid w:val="0"/>
          <w:spacing w:val="-6"/>
          <w:kern w:val="21"/>
          <w:szCs w:val="21"/>
        </w:rPr>
        <w:fldChar w:fldCharType="separate"/>
      </w:r>
      <w:r>
        <w:rPr>
          <w:rFonts w:hint="eastAsia" w:ascii="宋体" w:hAnsi="宋体" w:eastAsia="宋体" w:cs="Times New Roman"/>
          <w:kern w:val="0"/>
          <w:szCs w:val="21"/>
        </w:rPr>
        <w:t>⑦</w:t>
      </w:r>
      <w:r>
        <w:rPr>
          <w:rFonts w:ascii="宋体" w:hAnsi="宋体" w:eastAsia="宋体" w:cs="Times New Roman"/>
          <w:snapToGrid w:val="0"/>
          <w:spacing w:val="-6"/>
          <w:kern w:val="21"/>
          <w:szCs w:val="21"/>
        </w:rPr>
        <w:fldChar w:fldCharType="end"/>
      </w:r>
      <w:r>
        <w:rPr>
          <w:rFonts w:ascii="宋体" w:hAnsi="宋体" w:eastAsia="宋体" w:cs="Times New Roman"/>
          <w:snapToGrid w:val="0"/>
          <w:spacing w:val="-6"/>
          <w:kern w:val="21"/>
          <w:szCs w:val="21"/>
        </w:rPr>
        <w:t>=</w:t>
      </w:r>
      <w:r>
        <w:rPr>
          <w:rFonts w:ascii="宋体" w:hAnsi="宋体" w:eastAsia="宋体" w:cs="Times New Roman"/>
          <w:snapToGrid w:val="0"/>
          <w:spacing w:val="-16"/>
          <w:kern w:val="21"/>
          <w:szCs w:val="21"/>
        </w:rPr>
        <w:fldChar w:fldCharType="begin"/>
      </w:r>
      <w:r>
        <w:rPr>
          <w:rFonts w:ascii="宋体" w:hAnsi="宋体" w:eastAsia="宋体" w:cs="Times New Roman"/>
          <w:snapToGrid w:val="0"/>
          <w:spacing w:val="-16"/>
          <w:kern w:val="21"/>
          <w:szCs w:val="21"/>
        </w:rPr>
        <w:instrText xml:space="preserve"> = 6 \* GB3 \* MERGEFORMAT </w:instrText>
      </w:r>
      <w:r>
        <w:rPr>
          <w:rFonts w:ascii="宋体" w:hAnsi="宋体" w:eastAsia="宋体" w:cs="Times New Roman"/>
          <w:snapToGrid w:val="0"/>
          <w:spacing w:val="-16"/>
          <w:kern w:val="21"/>
          <w:szCs w:val="21"/>
        </w:rPr>
        <w:fldChar w:fldCharType="separate"/>
      </w:r>
      <w:r>
        <w:rPr>
          <w:rFonts w:hint="eastAsia" w:ascii="宋体" w:hAnsi="宋体" w:eastAsia="宋体" w:cs="Times New Roman"/>
          <w:kern w:val="0"/>
          <w:szCs w:val="21"/>
        </w:rPr>
        <w:t>⑥</w:t>
      </w:r>
      <w:r>
        <w:rPr>
          <w:rFonts w:ascii="宋体" w:hAnsi="宋体" w:eastAsia="宋体" w:cs="Times New Roman"/>
          <w:snapToGrid w:val="0"/>
          <w:spacing w:val="-16"/>
          <w:kern w:val="21"/>
          <w:szCs w:val="21"/>
        </w:rPr>
        <w:fldChar w:fldCharType="end"/>
      </w:r>
      <w:r>
        <w:rPr>
          <w:rFonts w:ascii="宋体" w:hAnsi="宋体" w:eastAsia="宋体" w:cs="Times New Roman"/>
          <w:snapToGrid w:val="0"/>
          <w:spacing w:val="-16"/>
          <w:kern w:val="21"/>
          <w:szCs w:val="21"/>
        </w:rPr>
        <w:t>-</w:t>
      </w:r>
      <w:r>
        <w:rPr>
          <w:rFonts w:ascii="宋体" w:hAnsi="宋体" w:eastAsia="宋体" w:cs="Times New Roman"/>
          <w:snapToGrid w:val="0"/>
          <w:spacing w:val="-6"/>
          <w:kern w:val="21"/>
          <w:szCs w:val="21"/>
        </w:rPr>
        <w:fldChar w:fldCharType="begin"/>
      </w:r>
      <w:r>
        <w:rPr>
          <w:rFonts w:ascii="宋体" w:hAnsi="宋体" w:eastAsia="宋体" w:cs="Times New Roman"/>
          <w:snapToGrid w:val="0"/>
          <w:spacing w:val="-6"/>
          <w:kern w:val="21"/>
          <w:szCs w:val="21"/>
        </w:rPr>
        <w:instrText xml:space="preserve"> = 1 \* GB3 \* MERGEFORMAT </w:instrText>
      </w:r>
      <w:r>
        <w:rPr>
          <w:rFonts w:ascii="宋体" w:hAnsi="宋体" w:eastAsia="宋体" w:cs="Times New Roman"/>
          <w:snapToGrid w:val="0"/>
          <w:spacing w:val="-6"/>
          <w:kern w:val="21"/>
          <w:szCs w:val="21"/>
        </w:rPr>
        <w:fldChar w:fldCharType="separate"/>
      </w:r>
      <w:r>
        <w:rPr>
          <w:rFonts w:hint="eastAsia" w:ascii="宋体" w:hAnsi="宋体" w:eastAsia="宋体" w:cs="Times New Roman"/>
          <w:kern w:val="0"/>
          <w:szCs w:val="21"/>
        </w:rPr>
        <w:t>①</w:t>
      </w:r>
      <w:r>
        <w:rPr>
          <w:rFonts w:ascii="宋体" w:hAnsi="宋体" w:eastAsia="宋体" w:cs="Times New Roman"/>
          <w:snapToGrid w:val="0"/>
          <w:spacing w:val="-6"/>
          <w:kern w:val="21"/>
          <w:szCs w:val="21"/>
        </w:rPr>
        <w:fldChar w:fldCharType="end"/>
      </w:r>
    </w:p>
    <w:p>
      <w:pPr>
        <w:pStyle w:val="82"/>
        <w:ind w:firstLine="0" w:firstLineChars="0"/>
        <w:outlineLvl w:val="0"/>
        <w:rPr>
          <w:rFonts w:hint="default"/>
          <w:snapToGrid w:val="0"/>
        </w:rPr>
      </w:pPr>
      <w:r>
        <w:rPr>
          <w:snapToGrid w:val="0"/>
        </w:rPr>
        <w:t>附图一 园区用地规划布置图</w:t>
      </w:r>
    </w:p>
    <w:p>
      <w:pPr>
        <w:pStyle w:val="82"/>
        <w:jc w:val="center"/>
        <w:rPr>
          <w:rFonts w:hint="default"/>
          <w:snapToGrid w:val="0"/>
        </w:rPr>
        <w:sectPr>
          <w:pgSz w:w="16838" w:h="11906" w:orient="landscape"/>
          <w:pgMar w:top="1800" w:right="1440" w:bottom="1800" w:left="1440" w:header="851" w:footer="992" w:gutter="0"/>
          <w:cols w:space="425" w:num="1"/>
          <w:docGrid w:type="lines" w:linePitch="312" w:charSpace="0"/>
        </w:sectPr>
      </w:pPr>
      <w:r>
        <w:drawing>
          <wp:inline distT="0" distB="0" distL="0" distR="0">
            <wp:extent cx="6546850" cy="4605020"/>
            <wp:effectExtent l="0" t="0" r="6350" b="5080"/>
            <wp:docPr id="2"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true"/>
                    </pic:cNvPicPr>
                  </pic:nvPicPr>
                  <pic:blipFill>
                    <a:blip r:embed="rId29"/>
                    <a:stretch>
                      <a:fillRect/>
                    </a:stretch>
                  </pic:blipFill>
                  <pic:spPr>
                    <a:xfrm>
                      <a:off x="0" y="0"/>
                      <a:ext cx="6546850" cy="4605020"/>
                    </a:xfrm>
                    <a:prstGeom prst="rect">
                      <a:avLst/>
                    </a:prstGeom>
                  </pic:spPr>
                </pic:pic>
              </a:graphicData>
            </a:graphic>
          </wp:inline>
        </w:drawing>
      </w:r>
    </w:p>
    <w:p>
      <w:pPr>
        <w:pStyle w:val="82"/>
        <w:ind w:firstLine="0" w:firstLineChars="0"/>
        <w:outlineLvl w:val="0"/>
        <w:rPr>
          <w:rFonts w:hint="default"/>
          <w:snapToGrid w:val="0"/>
        </w:rPr>
        <w:sectPr>
          <w:pgSz w:w="16838" w:h="11906" w:orient="landscape"/>
          <w:pgMar w:top="1800" w:right="1440" w:bottom="1800" w:left="1440" w:header="851" w:footer="992" w:gutter="0"/>
          <w:cols w:space="425" w:num="1"/>
          <w:docGrid w:type="lines" w:linePitch="312" w:charSpace="0"/>
        </w:sectPr>
      </w:pPr>
      <w:r>
        <w:drawing>
          <wp:anchor distT="0" distB="0" distL="114300" distR="114300" simplePos="0" relativeHeight="251668480" behindDoc="0" locked="0" layoutInCell="1" allowOverlap="1">
            <wp:simplePos x="0" y="0"/>
            <wp:positionH relativeFrom="column">
              <wp:posOffset>214630</wp:posOffset>
            </wp:positionH>
            <wp:positionV relativeFrom="paragraph">
              <wp:posOffset>453390</wp:posOffset>
            </wp:positionV>
            <wp:extent cx="8230870" cy="4208145"/>
            <wp:effectExtent l="0" t="0" r="17780" b="1905"/>
            <wp:wrapTopAndBottom/>
            <wp:docPr id="9" name="图片 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true"/>
                    </pic:cNvPicPr>
                  </pic:nvPicPr>
                  <pic:blipFill>
                    <a:blip r:embed="rId30">
                      <a:extLst>
                        <a:ext uri="{28A0092B-C50C-407E-A947-70E740481C1C}">
                          <a14:useLocalDpi xmlns:a14="http://schemas.microsoft.com/office/drawing/2010/main" val="false"/>
                        </a:ext>
                      </a:extLst>
                    </a:blip>
                    <a:stretch>
                      <a:fillRect/>
                    </a:stretch>
                  </pic:blipFill>
                  <pic:spPr>
                    <a:xfrm>
                      <a:off x="0" y="0"/>
                      <a:ext cx="8230870" cy="4208145"/>
                    </a:xfrm>
                    <a:prstGeom prst="rect">
                      <a:avLst/>
                    </a:prstGeom>
                  </pic:spPr>
                </pic:pic>
              </a:graphicData>
            </a:graphic>
          </wp:anchor>
        </w:drawing>
      </w:r>
      <w:r>
        <mc:AlternateContent>
          <mc:Choice Requires="wps">
            <w:drawing>
              <wp:anchor distT="0" distB="0" distL="114300" distR="114300" simplePos="0" relativeHeight="251667456" behindDoc="0" locked="0" layoutInCell="1" allowOverlap="1">
                <wp:simplePos x="0" y="0"/>
                <wp:positionH relativeFrom="column">
                  <wp:posOffset>4486275</wp:posOffset>
                </wp:positionH>
                <wp:positionV relativeFrom="paragraph">
                  <wp:posOffset>1968500</wp:posOffset>
                </wp:positionV>
                <wp:extent cx="551180" cy="231140"/>
                <wp:effectExtent l="190500" t="0" r="1270" b="207010"/>
                <wp:wrapNone/>
                <wp:docPr id="1447946638" name="对话气泡: 矩形 4"/>
                <wp:cNvGraphicFramePr/>
                <a:graphic xmlns:a="http://schemas.openxmlformats.org/drawingml/2006/main">
                  <a:graphicData uri="http://schemas.microsoft.com/office/word/2010/wordprocessingShape">
                    <wps:wsp>
                      <wps:cNvSpPr/>
                      <wps:spPr>
                        <a:xfrm>
                          <a:off x="0" y="0"/>
                          <a:ext cx="551180" cy="231140"/>
                        </a:xfrm>
                        <a:prstGeom prst="wedgeRectCallout">
                          <a:avLst>
                            <a:gd name="adj1" fmla="val -83693"/>
                            <a:gd name="adj2" fmla="val 137380"/>
                          </a:avLst>
                        </a:prstGeom>
                        <a:solidFill>
                          <a:srgbClr val="FF0000"/>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pPr>
                              <w:rPr>
                                <w:sz w:val="11"/>
                                <w:szCs w:val="13"/>
                              </w:rPr>
                            </w:pPr>
                            <w:r>
                              <w:rPr>
                                <w:rFonts w:hint="eastAsia"/>
                                <w:sz w:val="11"/>
                                <w:szCs w:val="13"/>
                              </w:rPr>
                              <w:t>项目所在地</w:t>
                            </w:r>
                          </w:p>
                        </w:txbxContent>
                      </wps:txbx>
                      <wps:bodyPr rot="0" spcFirstLastPara="0" vertOverflow="overflow" horzOverflow="overflow" vert="horz" wrap="square" lIns="91440" tIns="45720" rIns="91440" bIns="45720" numCol="1" spcCol="0" rtlCol="0" fromWordArt="false" anchor="ctr" anchorCtr="false" forceAA="false" compatLnSpc="true">
                        <a:noAutofit/>
                      </wps:bodyPr>
                    </wps:wsp>
                  </a:graphicData>
                </a:graphic>
              </wp:anchor>
            </w:drawing>
          </mc:Choice>
          <mc:Fallback>
            <w:pict>
              <v:shape id="对话气泡: 矩形 4" o:spid="_x0000_s1026" o:spt="61" type="#_x0000_t61" style="position:absolute;left:0pt;margin-left:353.25pt;margin-top:155pt;height:18.2pt;width:43.4pt;z-index:251667456;v-text-anchor:middle;mso-width-relative:page;mso-height-relative:page;" fillcolor="#FF0000" filled="t" stroked="f" coordsize="21600,21600" o:gfxdata="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" adj="0,40474">
                <v:fill on="t" focussize="0,0"/>
                <v:stroke on="f" weight="1pt" miterlimit="8" joinstyle="miter"/>
                <v:imagedata o:title=""/>
                <o:lock v:ext="edit" aspectratio="f"/>
                <v:textbox>
                  <w:txbxContent>
                    <w:p>
                      <w:pPr>
                        <w:rPr>
                          <w:sz w:val="11"/>
                          <w:szCs w:val="13"/>
                        </w:rPr>
                      </w:pPr>
                      <w:r>
                        <w:rPr>
                          <w:rFonts w:hint="eastAsia"/>
                          <w:sz w:val="11"/>
                          <w:szCs w:val="13"/>
                        </w:rPr>
                        <w:t>项目所在地</w:t>
                      </w:r>
                    </w:p>
                  </w:txbxContent>
                </v:textbox>
              </v:shape>
            </w:pict>
          </mc:Fallback>
        </mc:AlternateContent>
      </w:r>
      <w:r>
        <w:rPr>
          <w:snapToGrid w:val="0"/>
        </w:rPr>
        <w:t>附图二 项目与鄂尔多斯市环境管控单元分类图位置关系图</w:t>
      </w:r>
    </w:p>
    <w:p>
      <w:pPr>
        <w:pStyle w:val="82"/>
        <w:outlineLvl w:val="0"/>
        <w:rPr>
          <w:rFonts w:hint="default"/>
          <w:snapToGrid w:val="0"/>
        </w:rPr>
      </w:pPr>
      <w:r>
        <w:rPr>
          <w:snapToGrid w:val="0"/>
        </w:rPr>
        <w:t>附图三 地理位置图</w:t>
      </w:r>
    </w:p>
    <w:p>
      <w:pPr>
        <w:jc w:val="center"/>
        <w:rPr>
          <w:snapToGrid w:val="0"/>
        </w:rPr>
        <w:sectPr>
          <w:pgSz w:w="16838" w:h="11906" w:orient="landscape"/>
          <w:pgMar w:top="1800" w:right="1440" w:bottom="1800" w:left="1440" w:header="851" w:footer="992" w:gutter="0"/>
          <w:cols w:space="425" w:num="1"/>
          <w:docGrid w:type="lines" w:linePitch="312" w:charSpace="0"/>
        </w:sectPr>
      </w:pPr>
      <w:r>
        <w:drawing>
          <wp:anchor distT="0" distB="0" distL="114300" distR="114300" simplePos="0" relativeHeight="251662336" behindDoc="0" locked="0" layoutInCell="1" allowOverlap="1">
            <wp:simplePos x="0" y="0"/>
            <wp:positionH relativeFrom="column">
              <wp:posOffset>5414645</wp:posOffset>
            </wp:positionH>
            <wp:positionV relativeFrom="paragraph">
              <wp:posOffset>1532890</wp:posOffset>
            </wp:positionV>
            <wp:extent cx="831850" cy="315595"/>
            <wp:effectExtent l="0" t="0" r="6985" b="8255"/>
            <wp:wrapNone/>
            <wp:docPr id="1382774456"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82774456" name="图片 1"/>
                    <pic:cNvPicPr>
                      <a:picLocks noChangeAspect="true" noChangeArrowheads="true"/>
                    </pic:cNvPicPr>
                  </pic:nvPicPr>
                  <pic:blipFill>
                    <a:blip r:embed="rId31">
                      <a:extLst>
                        <a:ext uri="{28A0092B-C50C-407E-A947-70E740481C1C}">
                          <a14:useLocalDpi xmlns:a14="http://schemas.microsoft.com/office/drawing/2010/main" val="false"/>
                        </a:ext>
                      </a:extLst>
                    </a:blip>
                    <a:srcRect/>
                    <a:stretch>
                      <a:fillRect/>
                    </a:stretch>
                  </pic:blipFill>
                  <pic:spPr>
                    <a:xfrm>
                      <a:off x="0" y="0"/>
                      <a:ext cx="831552" cy="315861"/>
                    </a:xfrm>
                    <a:prstGeom prst="rect">
                      <a:avLst/>
                    </a:prstGeom>
                    <a:noFill/>
                    <a:ln>
                      <a:noFill/>
                    </a:ln>
                  </pic:spPr>
                </pic:pic>
              </a:graphicData>
            </a:graphic>
          </wp:anchor>
        </w:drawing>
      </w:r>
      <w:r>
        <mc:AlternateContent>
          <mc:Choice Requires="wps">
            <w:drawing>
              <wp:anchor distT="0" distB="0" distL="114300" distR="114300" simplePos="0" relativeHeight="251661312" behindDoc="0" locked="0" layoutInCell="1" allowOverlap="1">
                <wp:simplePos x="0" y="0"/>
                <wp:positionH relativeFrom="column">
                  <wp:posOffset>5364480</wp:posOffset>
                </wp:positionH>
                <wp:positionV relativeFrom="paragraph">
                  <wp:posOffset>1489075</wp:posOffset>
                </wp:positionV>
                <wp:extent cx="45720" cy="45720"/>
                <wp:effectExtent l="0" t="0" r="23495" b="12065"/>
                <wp:wrapNone/>
                <wp:docPr id="1" name="Oval 4"/>
                <wp:cNvGraphicFramePr/>
                <a:graphic xmlns:a="http://schemas.openxmlformats.org/drawingml/2006/main">
                  <a:graphicData uri="http://schemas.microsoft.com/office/word/2010/wordprocessingShape">
                    <wps:wsp>
                      <wps:cNvSpPr>
                        <a:spLocks noChangeArrowheads="true"/>
                      </wps:cNvSpPr>
                      <wps:spPr bwMode="auto">
                        <a:xfrm>
                          <a:off x="0" y="0"/>
                          <a:ext cx="45719" cy="45719"/>
                        </a:xfrm>
                        <a:prstGeom prst="ellipse">
                          <a:avLst/>
                        </a:prstGeom>
                        <a:solidFill>
                          <a:srgbClr val="FF0000"/>
                        </a:solidFill>
                        <a:ln w="9525">
                          <a:solidFill>
                            <a:srgbClr val="FF0000"/>
                          </a:solidFill>
                          <a:round/>
                        </a:ln>
                      </wps:spPr>
                      <wps:bodyPr/>
                    </wps:wsp>
                  </a:graphicData>
                </a:graphic>
              </wp:anchor>
            </w:drawing>
          </mc:Choice>
          <mc:Fallback>
            <w:pict>
              <v:shape id="Oval 4" o:spid="_x0000_s1026" o:spt="3" type="#_x0000_t3" style="position:absolute;left:0pt;margin-left:422.4pt;margin-top:117.25pt;height:3.6pt;width:3.6pt;z-index:251661312;mso-width-relative:page;mso-height-relative:page;" fillcolor="#FF0000" filled="t" stroked="t" coordsize="21600,21600" o:gfxdata="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W&#10;AAAAZHJzL1BLAQIUABQAAAAIAIdO4kCpRYBQ2AAAAAsBAAAPAAAAAAAAAAEAIAAAADgAAABkcnMv&#10;ZG93bnJldi54bWxQSwECFAAUAAAACACHTuJAgYG8zbQBAACAAwAADgAAAAAAAAABACAAAAA9AQAA&#10;ZHJzL2Uyb0RvYy54bWxQSwUGAAAAAAYABgBZAQAAYwUAAAAA&#10;">
                <v:fill on="t" focussize="0,0"/>
                <v:stroke color="#FF0000" joinstyle="round"/>
                <v:imagedata o:title=""/>
                <o:lock v:ext="edit" aspectratio="f"/>
              </v:shape>
            </w:pict>
          </mc:Fallback>
        </mc:AlternateContent>
      </w:r>
      <w:r>
        <w:drawing>
          <wp:inline distT="0" distB="0" distL="0" distR="0">
            <wp:extent cx="6715125" cy="4749165"/>
            <wp:effectExtent l="19050" t="19050" r="9525" b="13335"/>
            <wp:docPr id="23" name="图片 1" descr="272-273达拉特旗"/>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 name="图片 1" descr="272-273达拉特旗"/>
                    <pic:cNvPicPr>
                      <a:picLocks noChangeAspect="true"/>
                    </pic:cNvPicPr>
                  </pic:nvPicPr>
                  <pic:blipFill>
                    <a:blip r:embed="rId32"/>
                    <a:stretch>
                      <a:fillRect/>
                    </a:stretch>
                  </pic:blipFill>
                  <pic:spPr>
                    <a:xfrm>
                      <a:off x="0" y="0"/>
                      <a:ext cx="6715704" cy="4749752"/>
                    </a:xfrm>
                    <a:prstGeom prst="rect">
                      <a:avLst/>
                    </a:prstGeom>
                    <a:ln w="19050">
                      <a:solidFill>
                        <a:schemeClr val="tx1"/>
                      </a:solidFill>
                    </a:ln>
                  </pic:spPr>
                </pic:pic>
              </a:graphicData>
            </a:graphic>
          </wp:inline>
        </w:drawing>
      </w:r>
    </w:p>
    <w:p>
      <w:pPr>
        <w:pStyle w:val="82"/>
        <w:outlineLvl w:val="0"/>
        <w:rPr>
          <w:rFonts w:hint="default"/>
        </w:rPr>
      </w:pPr>
      <w:r>
        <w:rPr>
          <w:snapToGrid w:val="0"/>
        </w:rPr>
        <w:t xml:space="preserve">附图四 </w:t>
      </w:r>
      <w:r>
        <w:rPr>
          <w:snapToGrid w:val="0"/>
          <w:highlight w:val="yellow"/>
        </w:rPr>
        <w:t>项目平面布置图</w:t>
      </w:r>
    </w:p>
    <w:p>
      <w:pPr>
        <w:pStyle w:val="82"/>
        <w:jc w:val="center"/>
        <w:rPr>
          <w:rFonts w:hint="default"/>
          <w:snapToGrid w:val="0"/>
        </w:rPr>
      </w:pPr>
      <w:r>
        <w:rPr>
          <w:rFonts w:hint="default"/>
          <w:snapToGrid w:val="0"/>
        </w:rPr>
        <w:object>
          <v:shape id="_x0000_i1029" o:spt="75" type="#_x0000_t75" style="height:450.05pt;width:584pt;" o:ole="t" filled="f" o:preferrelative="t" stroked="f" coordsize="21600,21600">
            <v:path/>
            <v:fill on="f" focussize="0,0"/>
            <v:stroke on="f" joinstyle="miter"/>
            <v:imagedata r:id="rId34" o:title=""/>
            <o:lock v:ext="edit" aspectratio="t"/>
            <w10:wrap type="none"/>
            <w10:anchorlock/>
          </v:shape>
          <o:OLEObject Type="Embed" ProgID="Visio.Drawing.15" ShapeID="_x0000_i1029" DrawAspect="Content" ObjectID="_1468075729" r:id="rId33">
            <o:LockedField>false</o:LockedField>
          </o:OLEObject>
        </w:object>
      </w:r>
    </w:p>
    <w:p>
      <w:pPr>
        <w:pStyle w:val="82"/>
        <w:jc w:val="center"/>
        <w:rPr>
          <w:rFonts w:hint="default"/>
          <w:snapToGrid w:val="0"/>
        </w:rPr>
        <w:sectPr>
          <w:pgSz w:w="16838" w:h="11906" w:orient="landscape"/>
          <w:pgMar w:top="720" w:right="720" w:bottom="720" w:left="720" w:header="851" w:footer="992" w:gutter="0"/>
          <w:cols w:space="425" w:num="1"/>
          <w:docGrid w:type="lines" w:linePitch="312" w:charSpace="0"/>
        </w:sectPr>
      </w:pPr>
    </w:p>
    <w:p>
      <w:pPr>
        <w:pStyle w:val="82"/>
        <w:outlineLvl w:val="0"/>
        <w:rPr>
          <w:rFonts w:hint="default"/>
          <w:snapToGrid w:val="0"/>
          <w:color w:val="000000" w:themeColor="text1"/>
          <w14:textFill>
            <w14:solidFill>
              <w14:schemeClr w14:val="tx1"/>
            </w14:solidFill>
          </w14:textFill>
        </w:rPr>
      </w:pPr>
      <w:r>
        <w:rPr>
          <w:snapToGrid w:val="0"/>
          <w:color w:val="000000" w:themeColor="text1"/>
          <w14:textFill>
            <w14:solidFill>
              <w14:schemeClr w14:val="tx1"/>
            </w14:solidFill>
          </w14:textFill>
        </w:rPr>
        <w:t>附图五 四邻关系图</w:t>
      </w:r>
    </w:p>
    <w:p>
      <w:pPr>
        <w:pStyle w:val="82"/>
        <w:rPr>
          <w:rFonts w:hint="default"/>
          <w:snapToGrid w:val="0"/>
        </w:rPr>
      </w:pPr>
      <w:r>
        <w:drawing>
          <wp:inline distT="0" distB="0" distL="0" distR="0">
            <wp:extent cx="8863330" cy="4893945"/>
            <wp:effectExtent l="0" t="0" r="0" b="1905"/>
            <wp:docPr id="1649608333"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49608333" name="图片 1"/>
                    <pic:cNvPicPr>
                      <a:picLocks noChangeAspect="true"/>
                    </pic:cNvPicPr>
                  </pic:nvPicPr>
                  <pic:blipFill>
                    <a:blip r:embed="rId35"/>
                    <a:stretch>
                      <a:fillRect/>
                    </a:stretch>
                  </pic:blipFill>
                  <pic:spPr>
                    <a:xfrm>
                      <a:off x="0" y="0"/>
                      <a:ext cx="8863330" cy="4893978"/>
                    </a:xfrm>
                    <a:prstGeom prst="rect">
                      <a:avLst/>
                    </a:prstGeom>
                  </pic:spPr>
                </pic:pic>
              </a:graphicData>
            </a:graphic>
          </wp:inline>
        </w:drawing>
      </w:r>
    </w:p>
    <w:p>
      <w:pPr>
        <w:pStyle w:val="82"/>
        <w:outlineLvl w:val="0"/>
        <w:rPr>
          <w:rFonts w:hint="default"/>
          <w:snapToGrid w:val="0"/>
        </w:rPr>
      </w:pPr>
      <w:r>
        <w:rPr>
          <w:snapToGrid w:val="0"/>
          <w:highlight w:val="yellow"/>
        </w:rPr>
        <w:t>附图六 现有工程图</w:t>
      </w:r>
      <w:r>
        <w:rPr>
          <w:snapToGrid w:val="0"/>
        </w:rPr>
        <w:t xml:space="preserve"> </w:t>
      </w:r>
      <w:r>
        <w:rPr>
          <w:rFonts w:hint="default"/>
          <w:snapToGrid w:val="0"/>
        </w:rPr>
        <w:t xml:space="preserve">         </w:t>
      </w:r>
    </w:p>
    <w:tbl>
      <w:tblPr>
        <w:tblStyle w:val="24"/>
        <w:tblW w:w="0" w:type="auto"/>
        <w:tblInd w:w="70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97"/>
        <w:gridCol w:w="67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5" w:hRule="atLeast"/>
        </w:trPr>
        <w:tc>
          <w:tcPr>
            <w:tcW w:w="7016" w:type="dxa"/>
            <w:vAlign w:val="center"/>
          </w:tcPr>
          <w:p>
            <w:pPr>
              <w:pStyle w:val="19"/>
              <w:adjustRightInd w:val="0"/>
              <w:snapToGrid w:val="0"/>
              <w:spacing w:before="0" w:beforeAutospacing="0" w:after="0" w:afterAutospacing="0"/>
              <w:jc w:val="center"/>
              <w:rPr>
                <w:rFonts w:ascii="黑体" w:hAnsi="黑体" w:eastAsia="黑体"/>
                <w:snapToGrid w:val="0"/>
                <w:sz w:val="32"/>
                <w:szCs w:val="32"/>
              </w:rPr>
            </w:pPr>
            <w:bookmarkStart w:id="345" w:name="OLE_LINK320"/>
            <w:bookmarkStart w:id="346" w:name="OLE_LINK321"/>
            <w:r>
              <w:drawing>
                <wp:inline distT="0" distB="0" distL="0" distR="0">
                  <wp:extent cx="3561080" cy="1695450"/>
                  <wp:effectExtent l="0" t="0" r="1270" b="0"/>
                  <wp:docPr id="742209789"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42209789" name="图片 1"/>
                          <pic:cNvPicPr>
                            <a:picLocks noChangeAspect="true"/>
                          </pic:cNvPicPr>
                        </pic:nvPicPr>
                        <pic:blipFill>
                          <a:blip r:embed="rId36"/>
                          <a:stretch>
                            <a:fillRect/>
                          </a:stretch>
                        </pic:blipFill>
                        <pic:spPr>
                          <a:xfrm>
                            <a:off x="0" y="0"/>
                            <a:ext cx="3600183" cy="1713817"/>
                          </a:xfrm>
                          <a:prstGeom prst="rect">
                            <a:avLst/>
                          </a:prstGeom>
                        </pic:spPr>
                      </pic:pic>
                    </a:graphicData>
                  </a:graphic>
                </wp:inline>
              </w:drawing>
            </w:r>
          </w:p>
        </w:tc>
        <w:tc>
          <w:tcPr>
            <w:tcW w:w="7017" w:type="dxa"/>
            <w:vAlign w:val="center"/>
          </w:tcPr>
          <w:p>
            <w:pPr>
              <w:pStyle w:val="19"/>
              <w:adjustRightInd w:val="0"/>
              <w:snapToGrid w:val="0"/>
              <w:spacing w:before="0" w:beforeAutospacing="0" w:after="0" w:afterAutospacing="0"/>
              <w:jc w:val="center"/>
              <w:rPr>
                <w:rFonts w:ascii="黑体" w:hAnsi="黑体" w:eastAsia="黑体"/>
                <w:snapToGrid w:val="0"/>
                <w:sz w:val="32"/>
                <w:szCs w:val="32"/>
              </w:rPr>
            </w:pPr>
            <w:r>
              <w:drawing>
                <wp:inline distT="0" distB="0" distL="0" distR="0">
                  <wp:extent cx="3740150" cy="1743075"/>
                  <wp:effectExtent l="0" t="0" r="0" b="0"/>
                  <wp:docPr id="437199921"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37199921" name="图片 1"/>
                          <pic:cNvPicPr>
                            <a:picLocks noChangeAspect="true"/>
                          </pic:cNvPicPr>
                        </pic:nvPicPr>
                        <pic:blipFill>
                          <a:blip r:embed="rId37"/>
                          <a:stretch>
                            <a:fillRect/>
                          </a:stretch>
                        </pic:blipFill>
                        <pic:spPr>
                          <a:xfrm>
                            <a:off x="0" y="0"/>
                            <a:ext cx="3793788" cy="1767906"/>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trPr>
        <w:tc>
          <w:tcPr>
            <w:tcW w:w="7016" w:type="dxa"/>
            <w:vAlign w:val="center"/>
          </w:tcPr>
          <w:p>
            <w:pPr>
              <w:pStyle w:val="19"/>
              <w:adjustRightInd w:val="0"/>
              <w:snapToGrid w:val="0"/>
              <w:spacing w:before="0" w:beforeAutospacing="0" w:after="0" w:afterAutospacing="0"/>
              <w:jc w:val="center"/>
            </w:pPr>
            <w:r>
              <w:rPr>
                <w:rFonts w:hint="eastAsia"/>
              </w:rPr>
              <w:t>现有工程成品库</w:t>
            </w:r>
          </w:p>
        </w:tc>
        <w:tc>
          <w:tcPr>
            <w:tcW w:w="7017" w:type="dxa"/>
            <w:vAlign w:val="center"/>
          </w:tcPr>
          <w:p>
            <w:pPr>
              <w:pStyle w:val="19"/>
              <w:adjustRightInd w:val="0"/>
              <w:snapToGrid w:val="0"/>
              <w:spacing w:before="0" w:beforeAutospacing="0" w:after="0" w:afterAutospacing="0"/>
              <w:jc w:val="center"/>
            </w:pPr>
            <w:r>
              <w:rPr>
                <w:rFonts w:hint="eastAsia"/>
              </w:rPr>
              <w:t>现有工程原料库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8" w:hRule="atLeast"/>
        </w:trPr>
        <w:tc>
          <w:tcPr>
            <w:tcW w:w="7016" w:type="dxa"/>
            <w:vAlign w:val="center"/>
          </w:tcPr>
          <w:p>
            <w:pPr>
              <w:pStyle w:val="19"/>
              <w:adjustRightInd w:val="0"/>
              <w:snapToGrid w:val="0"/>
              <w:spacing w:before="0" w:beforeAutospacing="0" w:after="0" w:afterAutospacing="0"/>
              <w:jc w:val="center"/>
              <w:rPr>
                <w:rFonts w:ascii="黑体" w:hAnsi="黑体" w:eastAsia="黑体"/>
                <w:snapToGrid w:val="0"/>
                <w:sz w:val="32"/>
                <w:szCs w:val="32"/>
              </w:rPr>
            </w:pPr>
            <w:r>
              <w:drawing>
                <wp:inline distT="0" distB="0" distL="0" distR="0">
                  <wp:extent cx="3497580" cy="1866900"/>
                  <wp:effectExtent l="0" t="0" r="7620" b="0"/>
                  <wp:docPr id="1538344518"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38344518" name="图片 1"/>
                          <pic:cNvPicPr>
                            <a:picLocks noChangeAspect="true"/>
                          </pic:cNvPicPr>
                        </pic:nvPicPr>
                        <pic:blipFill>
                          <a:blip r:embed="rId38"/>
                          <a:stretch>
                            <a:fillRect/>
                          </a:stretch>
                        </pic:blipFill>
                        <pic:spPr>
                          <a:xfrm>
                            <a:off x="0" y="0"/>
                            <a:ext cx="3528351" cy="1883100"/>
                          </a:xfrm>
                          <a:prstGeom prst="rect">
                            <a:avLst/>
                          </a:prstGeom>
                        </pic:spPr>
                      </pic:pic>
                    </a:graphicData>
                  </a:graphic>
                </wp:inline>
              </w:drawing>
            </w:r>
          </w:p>
        </w:tc>
        <w:tc>
          <w:tcPr>
            <w:tcW w:w="7017" w:type="dxa"/>
            <w:vAlign w:val="center"/>
          </w:tcPr>
          <w:p>
            <w:pPr>
              <w:pStyle w:val="19"/>
              <w:adjustRightInd w:val="0"/>
              <w:snapToGrid w:val="0"/>
              <w:spacing w:before="0" w:beforeAutospacing="0" w:after="0" w:afterAutospacing="0"/>
              <w:jc w:val="center"/>
              <w:rPr>
                <w:rFonts w:ascii="黑体" w:hAnsi="黑体" w:eastAsia="黑体"/>
                <w:snapToGrid w:val="0"/>
                <w:sz w:val="32"/>
                <w:szCs w:val="32"/>
              </w:rPr>
            </w:pPr>
            <w:r>
              <w:drawing>
                <wp:inline distT="0" distB="0" distL="0" distR="0">
                  <wp:extent cx="3561080" cy="1819275"/>
                  <wp:effectExtent l="0" t="0" r="1270" b="0"/>
                  <wp:docPr id="1539939023"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39939023" name="图片 1"/>
                          <pic:cNvPicPr>
                            <a:picLocks noChangeAspect="true"/>
                          </pic:cNvPicPr>
                        </pic:nvPicPr>
                        <pic:blipFill>
                          <a:blip r:embed="rId39"/>
                          <a:stretch>
                            <a:fillRect/>
                          </a:stretch>
                        </pic:blipFill>
                        <pic:spPr>
                          <a:xfrm>
                            <a:off x="0" y="0"/>
                            <a:ext cx="3597263" cy="1837646"/>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0" w:hRule="atLeast"/>
        </w:trPr>
        <w:tc>
          <w:tcPr>
            <w:tcW w:w="7016" w:type="dxa"/>
            <w:vAlign w:val="center"/>
          </w:tcPr>
          <w:p>
            <w:pPr>
              <w:pStyle w:val="19"/>
              <w:adjustRightInd w:val="0"/>
              <w:snapToGrid w:val="0"/>
              <w:spacing w:before="0" w:beforeAutospacing="0" w:after="0" w:afterAutospacing="0"/>
              <w:jc w:val="center"/>
            </w:pPr>
            <w:r>
              <w:rPr>
                <w:rFonts w:hint="eastAsia"/>
              </w:rPr>
              <w:t>现有工程浓缩池</w:t>
            </w:r>
          </w:p>
        </w:tc>
        <w:tc>
          <w:tcPr>
            <w:tcW w:w="7017" w:type="dxa"/>
            <w:vAlign w:val="center"/>
          </w:tcPr>
          <w:p>
            <w:pPr>
              <w:pStyle w:val="19"/>
              <w:adjustRightInd w:val="0"/>
              <w:snapToGrid w:val="0"/>
              <w:spacing w:before="0" w:beforeAutospacing="0" w:after="0" w:afterAutospacing="0"/>
              <w:jc w:val="center"/>
            </w:pPr>
            <w:r>
              <w:rPr>
                <w:rFonts w:hint="eastAsia"/>
              </w:rPr>
              <w:t>现有工程原料库内部</w:t>
            </w:r>
          </w:p>
        </w:tc>
      </w:tr>
      <w:bookmarkEnd w:id="345"/>
      <w:bookmarkEnd w:id="346"/>
    </w:tbl>
    <w:p>
      <w:pPr>
        <w:pStyle w:val="82"/>
        <w:rPr>
          <w:rFonts w:hint="default"/>
          <w:snapToGrid w:val="0"/>
        </w:rPr>
      </w:pPr>
    </w:p>
    <w:tbl>
      <w:tblPr>
        <w:tblStyle w:val="24"/>
        <w:tblW w:w="0" w:type="auto"/>
        <w:tblInd w:w="70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35"/>
        <w:gridCol w:w="67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5" w:hRule="atLeast"/>
        </w:trPr>
        <w:tc>
          <w:tcPr>
            <w:tcW w:w="7016" w:type="dxa"/>
            <w:vAlign w:val="center"/>
          </w:tcPr>
          <w:p>
            <w:pPr>
              <w:pStyle w:val="19"/>
              <w:adjustRightInd w:val="0"/>
              <w:snapToGrid w:val="0"/>
              <w:spacing w:before="0" w:beforeAutospacing="0" w:after="0" w:afterAutospacing="0"/>
              <w:jc w:val="center"/>
              <w:rPr>
                <w:rFonts w:ascii="黑体" w:hAnsi="黑体" w:eastAsia="黑体"/>
                <w:snapToGrid w:val="0"/>
                <w:sz w:val="32"/>
                <w:szCs w:val="32"/>
              </w:rPr>
            </w:pPr>
            <w:r>
              <w:rPr>
                <w:rFonts w:ascii="黑体" w:hAnsi="黑体" w:eastAsia="黑体"/>
                <w:sz w:val="32"/>
                <w:szCs w:val="32"/>
              </w:rPr>
              <w:drawing>
                <wp:inline distT="0" distB="0" distL="0" distR="0">
                  <wp:extent cx="3839845" cy="2159635"/>
                  <wp:effectExtent l="0" t="0" r="8255" b="0"/>
                  <wp:docPr id="55" name="图片 5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true"/>
                          </pic:cNvPicPr>
                        </pic:nvPicPr>
                        <pic:blipFill>
                          <a:blip r:embed="rId40" cstate="print">
                            <a:extLst>
                              <a:ext uri="{28A0092B-C50C-407E-A947-70E740481C1C}">
                                <a14:useLocalDpi xmlns:a14="http://schemas.microsoft.com/office/drawing/2010/main" val="false"/>
                              </a:ext>
                            </a:extLst>
                          </a:blip>
                          <a:stretch>
                            <a:fillRect/>
                          </a:stretch>
                        </pic:blipFill>
                        <pic:spPr>
                          <a:xfrm>
                            <a:off x="0" y="0"/>
                            <a:ext cx="3840184" cy="2160000"/>
                          </a:xfrm>
                          <a:prstGeom prst="rect">
                            <a:avLst/>
                          </a:prstGeom>
                        </pic:spPr>
                      </pic:pic>
                    </a:graphicData>
                  </a:graphic>
                </wp:inline>
              </w:drawing>
            </w:r>
          </w:p>
        </w:tc>
        <w:tc>
          <w:tcPr>
            <w:tcW w:w="7017" w:type="dxa"/>
            <w:vAlign w:val="center"/>
          </w:tcPr>
          <w:p>
            <w:pPr>
              <w:pStyle w:val="19"/>
              <w:adjustRightInd w:val="0"/>
              <w:snapToGrid w:val="0"/>
              <w:spacing w:before="0" w:beforeAutospacing="0" w:after="0" w:afterAutospacing="0"/>
              <w:jc w:val="center"/>
              <w:rPr>
                <w:rFonts w:ascii="黑体" w:hAnsi="黑体" w:eastAsia="黑体"/>
                <w:snapToGrid w:val="0"/>
                <w:sz w:val="32"/>
                <w:szCs w:val="32"/>
              </w:rPr>
            </w:pPr>
            <w:r>
              <w:rPr>
                <w:rFonts w:ascii="黑体" w:hAnsi="黑体" w:eastAsia="黑体"/>
                <w:sz w:val="32"/>
                <w:szCs w:val="32"/>
              </w:rPr>
              <w:drawing>
                <wp:inline distT="0" distB="0" distL="0" distR="0">
                  <wp:extent cx="3839845" cy="2159635"/>
                  <wp:effectExtent l="0" t="0" r="8255" b="0"/>
                  <wp:docPr id="56" name="图片 5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true"/>
                          </pic:cNvPicPr>
                        </pic:nvPicPr>
                        <pic:blipFill>
                          <a:blip r:embed="rId41" cstate="print">
                            <a:extLst>
                              <a:ext uri="{28A0092B-C50C-407E-A947-70E740481C1C}">
                                <a14:useLocalDpi xmlns:a14="http://schemas.microsoft.com/office/drawing/2010/main" val="false"/>
                              </a:ext>
                            </a:extLst>
                          </a:blip>
                          <a:stretch>
                            <a:fillRect/>
                          </a:stretch>
                        </pic:blipFill>
                        <pic:spPr>
                          <a:xfrm>
                            <a:off x="0" y="0"/>
                            <a:ext cx="3840183" cy="21600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trPr>
        <w:tc>
          <w:tcPr>
            <w:tcW w:w="7016" w:type="dxa"/>
            <w:vAlign w:val="center"/>
          </w:tcPr>
          <w:p>
            <w:pPr>
              <w:pStyle w:val="19"/>
              <w:adjustRightInd w:val="0"/>
              <w:snapToGrid w:val="0"/>
              <w:spacing w:before="0" w:beforeAutospacing="0" w:after="0" w:afterAutospacing="0"/>
              <w:jc w:val="center"/>
            </w:pPr>
            <w:bookmarkStart w:id="347" w:name="OLE_LINK323"/>
            <w:bookmarkStart w:id="348" w:name="OLE_LINK322"/>
            <w:r>
              <w:rPr>
                <w:rFonts w:hint="eastAsia"/>
              </w:rPr>
              <w:t>现有工程成品库</w:t>
            </w:r>
            <w:bookmarkEnd w:id="347"/>
            <w:bookmarkEnd w:id="348"/>
          </w:p>
        </w:tc>
        <w:tc>
          <w:tcPr>
            <w:tcW w:w="7017" w:type="dxa"/>
            <w:vAlign w:val="center"/>
          </w:tcPr>
          <w:p>
            <w:pPr>
              <w:pStyle w:val="19"/>
              <w:adjustRightInd w:val="0"/>
              <w:snapToGrid w:val="0"/>
              <w:spacing w:before="0" w:beforeAutospacing="0" w:after="0" w:afterAutospacing="0"/>
              <w:jc w:val="center"/>
            </w:pPr>
            <w:r>
              <w:rPr>
                <w:rFonts w:hint="eastAsia"/>
              </w:rPr>
              <w:t>现有工程成品库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8" w:hRule="atLeast"/>
        </w:trPr>
        <w:tc>
          <w:tcPr>
            <w:tcW w:w="7016" w:type="dxa"/>
            <w:vAlign w:val="center"/>
          </w:tcPr>
          <w:p>
            <w:pPr>
              <w:pStyle w:val="19"/>
              <w:adjustRightInd w:val="0"/>
              <w:snapToGrid w:val="0"/>
              <w:spacing w:before="0" w:beforeAutospacing="0" w:after="0" w:afterAutospacing="0"/>
              <w:jc w:val="center"/>
              <w:rPr>
                <w:rFonts w:ascii="黑体" w:hAnsi="黑体" w:eastAsia="黑体"/>
                <w:snapToGrid w:val="0"/>
                <w:sz w:val="32"/>
                <w:szCs w:val="32"/>
              </w:rPr>
            </w:pPr>
            <w:r>
              <w:rPr>
                <w:rFonts w:ascii="黑体" w:hAnsi="黑体" w:eastAsia="黑体"/>
                <w:sz w:val="32"/>
                <w:szCs w:val="32"/>
              </w:rPr>
              <w:drawing>
                <wp:inline distT="0" distB="0" distL="0" distR="0">
                  <wp:extent cx="3839845" cy="2159635"/>
                  <wp:effectExtent l="0" t="0" r="8255" b="0"/>
                  <wp:docPr id="57" name="图片 5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true"/>
                          </pic:cNvPicPr>
                        </pic:nvPicPr>
                        <pic:blipFill>
                          <a:blip r:embed="rId42" cstate="print">
                            <a:extLst>
                              <a:ext uri="{28A0092B-C50C-407E-A947-70E740481C1C}">
                                <a14:useLocalDpi xmlns:a14="http://schemas.microsoft.com/office/drawing/2010/main" val="false"/>
                              </a:ext>
                            </a:extLst>
                          </a:blip>
                          <a:stretch>
                            <a:fillRect/>
                          </a:stretch>
                        </pic:blipFill>
                        <pic:spPr>
                          <a:xfrm>
                            <a:off x="0" y="0"/>
                            <a:ext cx="3840183" cy="2160000"/>
                          </a:xfrm>
                          <a:prstGeom prst="rect">
                            <a:avLst/>
                          </a:prstGeom>
                        </pic:spPr>
                      </pic:pic>
                    </a:graphicData>
                  </a:graphic>
                </wp:inline>
              </w:drawing>
            </w:r>
          </w:p>
        </w:tc>
        <w:tc>
          <w:tcPr>
            <w:tcW w:w="7017" w:type="dxa"/>
            <w:vAlign w:val="center"/>
          </w:tcPr>
          <w:p>
            <w:pPr>
              <w:pStyle w:val="19"/>
              <w:adjustRightInd w:val="0"/>
              <w:snapToGrid w:val="0"/>
              <w:spacing w:before="0" w:beforeAutospacing="0" w:after="0" w:afterAutospacing="0"/>
              <w:jc w:val="center"/>
              <w:rPr>
                <w:rFonts w:ascii="黑体" w:hAnsi="黑体" w:eastAsia="黑体"/>
                <w:snapToGrid w:val="0"/>
                <w:sz w:val="32"/>
                <w:szCs w:val="32"/>
              </w:rPr>
            </w:pPr>
            <w:r>
              <w:rPr>
                <w:rFonts w:ascii="黑体" w:hAnsi="黑体" w:eastAsia="黑体"/>
                <w:sz w:val="32"/>
                <w:szCs w:val="32"/>
              </w:rPr>
              <w:drawing>
                <wp:inline distT="0" distB="0" distL="0" distR="0">
                  <wp:extent cx="3839845" cy="2159635"/>
                  <wp:effectExtent l="0" t="0" r="8255" b="0"/>
                  <wp:docPr id="58" name="图片 5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true"/>
                          </pic:cNvPicPr>
                        </pic:nvPicPr>
                        <pic:blipFill>
                          <a:blip r:embed="rId43" cstate="print">
                            <a:extLst>
                              <a:ext uri="{28A0092B-C50C-407E-A947-70E740481C1C}">
                                <a14:useLocalDpi xmlns:a14="http://schemas.microsoft.com/office/drawing/2010/main" val="false"/>
                              </a:ext>
                            </a:extLst>
                          </a:blip>
                          <a:stretch>
                            <a:fillRect/>
                          </a:stretch>
                        </pic:blipFill>
                        <pic:spPr>
                          <a:xfrm>
                            <a:off x="0" y="0"/>
                            <a:ext cx="3840183" cy="21600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7016" w:type="dxa"/>
            <w:vAlign w:val="center"/>
          </w:tcPr>
          <w:p>
            <w:pPr>
              <w:pStyle w:val="19"/>
              <w:adjustRightInd w:val="0"/>
              <w:snapToGrid w:val="0"/>
              <w:spacing w:before="0" w:beforeAutospacing="0" w:after="0" w:afterAutospacing="0"/>
              <w:jc w:val="center"/>
            </w:pPr>
            <w:r>
              <w:rPr>
                <w:rFonts w:hint="eastAsia"/>
              </w:rPr>
              <w:t>现有工程成品库</w:t>
            </w:r>
          </w:p>
        </w:tc>
        <w:tc>
          <w:tcPr>
            <w:tcW w:w="7017" w:type="dxa"/>
            <w:vAlign w:val="center"/>
          </w:tcPr>
          <w:p>
            <w:pPr>
              <w:pStyle w:val="19"/>
              <w:adjustRightInd w:val="0"/>
              <w:snapToGrid w:val="0"/>
              <w:spacing w:before="0" w:beforeAutospacing="0" w:after="0" w:afterAutospacing="0"/>
              <w:jc w:val="center"/>
            </w:pPr>
            <w:r>
              <w:rPr>
                <w:rFonts w:hint="eastAsia"/>
              </w:rPr>
              <w:t>现有工程成品库</w:t>
            </w:r>
          </w:p>
        </w:tc>
      </w:tr>
    </w:tbl>
    <w:p>
      <w:pPr>
        <w:pStyle w:val="82"/>
        <w:rPr>
          <w:rFonts w:hint="default"/>
          <w:snapToGrid w:val="0"/>
        </w:rPr>
        <w:sectPr>
          <w:pgSz w:w="16838" w:h="11906" w:orient="landscape"/>
          <w:pgMar w:top="1800" w:right="1440" w:bottom="1800" w:left="1440" w:header="851" w:footer="992" w:gutter="0"/>
          <w:cols w:space="425" w:num="1"/>
          <w:docGrid w:type="lines" w:linePitch="312" w:charSpace="0"/>
        </w:sectPr>
      </w:pPr>
      <w:r>
        <w:rPr>
          <w:snapToGrid w:val="0"/>
        </w:rPr>
        <w:t xml:space="preserve"> </w:t>
      </w:r>
      <w:r>
        <w:rPr>
          <w:rFonts w:hint="default"/>
          <w:snapToGrid w:val="0"/>
        </w:rPr>
        <w:t xml:space="preserve">                                                                                                      </w:t>
      </w:r>
    </w:p>
    <w:p>
      <w:pPr>
        <w:pStyle w:val="82"/>
        <w:outlineLvl w:val="0"/>
        <w:rPr>
          <w:rFonts w:hint="default"/>
        </w:rPr>
      </w:pPr>
      <w:r>
        <w:t>附件一 委托书</w:t>
      </w:r>
    </w:p>
    <w:p>
      <w:pPr>
        <w:keepNext w:val="0"/>
        <w:keepLines w:val="0"/>
        <w:widowControl/>
        <w:suppressLineNumbers w:val="0"/>
        <w:jc w:val="left"/>
      </w:pPr>
      <w:bookmarkStart w:id="349" w:name="OLE_LINK289"/>
      <w:bookmarkStart w:id="350" w:name="OLE_LINK288"/>
      <w:r>
        <w:rPr>
          <w:rFonts w:ascii="宋体" w:hAnsi="宋体" w:eastAsia="宋体" w:cs="宋体"/>
          <w:kern w:val="0"/>
          <w:sz w:val="24"/>
          <w:szCs w:val="24"/>
          <w:lang w:val="en-US" w:eastAsia="zh-CN" w:bidi="ar"/>
        </w:rPr>
        <w:drawing>
          <wp:inline distT="0" distB="0" distL="114300" distR="114300">
            <wp:extent cx="5542280" cy="7874000"/>
            <wp:effectExtent l="0" t="0" r="1270" b="12700"/>
            <wp:docPr id="18" name="图片 6" descr="IMG_25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 name="图片 6" descr="IMG_256"/>
                    <pic:cNvPicPr>
                      <a:picLocks noChangeAspect="true"/>
                    </pic:cNvPicPr>
                  </pic:nvPicPr>
                  <pic:blipFill>
                    <a:blip r:embed="rId44"/>
                    <a:stretch>
                      <a:fillRect/>
                    </a:stretch>
                  </pic:blipFill>
                  <pic:spPr>
                    <a:xfrm>
                      <a:off x="0" y="0"/>
                      <a:ext cx="5542280" cy="7874000"/>
                    </a:xfrm>
                    <a:prstGeom prst="rect">
                      <a:avLst/>
                    </a:prstGeom>
                    <a:noFill/>
                    <a:ln w="9525">
                      <a:noFill/>
                    </a:ln>
                  </pic:spPr>
                </pic:pic>
              </a:graphicData>
            </a:graphic>
          </wp:inline>
        </w:drawing>
      </w:r>
    </w:p>
    <w:p>
      <w:pPr>
        <w:adjustRightInd w:val="0"/>
        <w:spacing w:before="156" w:beforeLines="50" w:after="156" w:afterLines="50" w:line="420" w:lineRule="atLeast"/>
        <w:ind w:firstLine="600" w:firstLineChars="200"/>
        <w:jc w:val="left"/>
        <w:textAlignment w:val="baseline"/>
        <w:rPr>
          <w:rFonts w:ascii="宋体" w:hAnsi="Courier New" w:eastAsia="Calibri"/>
          <w:kern w:val="0"/>
          <w:sz w:val="30"/>
          <w:szCs w:val="30"/>
        </w:rPr>
      </w:pPr>
      <w:r>
        <w:rPr>
          <w:rFonts w:hint="eastAsia" w:ascii="宋体" w:hAnsi="Courier New" w:eastAsia="Calibri"/>
          <w:kern w:val="0"/>
          <w:sz w:val="30"/>
          <w:szCs w:val="30"/>
        </w:rPr>
        <w:t xml:space="preserve"> </w:t>
      </w:r>
    </w:p>
    <w:bookmarkEnd w:id="349"/>
    <w:bookmarkEnd w:id="350"/>
    <w:p>
      <w:pPr>
        <w:jc w:val="center"/>
        <w:rPr>
          <w:rFonts w:ascii="Times New Roman" w:hAnsi="Times New Roman" w:eastAsia="宋体" w:cs="Times New Roman"/>
          <w:sz w:val="24"/>
          <w:szCs w:val="24"/>
        </w:rPr>
        <w:sectPr>
          <w:pgSz w:w="11906" w:h="16838"/>
          <w:pgMar w:top="1440" w:right="1800" w:bottom="1440" w:left="1800" w:header="851" w:footer="992" w:gutter="0"/>
          <w:cols w:space="425" w:num="1"/>
          <w:docGrid w:type="lines" w:linePitch="312" w:charSpace="0"/>
        </w:sectPr>
      </w:pPr>
      <w:bookmarkStart w:id="355" w:name="_GoBack"/>
      <w:bookmarkEnd w:id="355"/>
    </w:p>
    <w:p>
      <w:pPr>
        <w:pStyle w:val="82"/>
        <w:outlineLvl w:val="0"/>
        <w:rPr>
          <w:rFonts w:hint="default"/>
          <w:snapToGrid w:val="0"/>
        </w:rPr>
      </w:pPr>
      <w:r>
        <w:rPr>
          <w:snapToGrid w:val="0"/>
        </w:rPr>
        <w:t>附件二 备案书</w:t>
      </w:r>
    </w:p>
    <w:p>
      <w:pPr>
        <w:jc w:val="center"/>
        <w:rPr>
          <w:rFonts w:ascii="Times New Roman" w:hAnsi="Times New Roman" w:eastAsia="宋体" w:cs="Times New Roman"/>
          <w:sz w:val="24"/>
          <w:szCs w:val="24"/>
        </w:rPr>
        <w:sectPr>
          <w:pgSz w:w="11906" w:h="16838"/>
          <w:pgMar w:top="1440" w:right="1800" w:bottom="1440" w:left="1800" w:header="851" w:footer="992" w:gutter="0"/>
          <w:cols w:space="425" w:num="1"/>
          <w:docGrid w:type="lines" w:linePitch="312" w:charSpace="0"/>
        </w:sectPr>
      </w:pPr>
      <w:r>
        <w:drawing>
          <wp:inline distT="0" distB="0" distL="0" distR="0">
            <wp:extent cx="5728335" cy="8105140"/>
            <wp:effectExtent l="0" t="0" r="5715" b="0"/>
            <wp:docPr id="10" name="图片 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true"/>
                    </pic:cNvPicPr>
                  </pic:nvPicPr>
                  <pic:blipFill>
                    <a:blip r:embed="rId45"/>
                    <a:stretch>
                      <a:fillRect/>
                    </a:stretch>
                  </pic:blipFill>
                  <pic:spPr>
                    <a:xfrm>
                      <a:off x="0" y="0"/>
                      <a:ext cx="5730078" cy="8107377"/>
                    </a:xfrm>
                    <a:prstGeom prst="rect">
                      <a:avLst/>
                    </a:prstGeom>
                  </pic:spPr>
                </pic:pic>
              </a:graphicData>
            </a:graphic>
          </wp:inline>
        </w:drawing>
      </w:r>
    </w:p>
    <w:p>
      <w:pPr>
        <w:pStyle w:val="82"/>
        <w:outlineLvl w:val="0"/>
        <w:rPr>
          <w:rFonts w:hint="default" w:ascii="Times New Roman" w:hAnsi="Times New Roman" w:cs="Times New Roman"/>
          <w:color w:val="000000"/>
        </w:rPr>
      </w:pPr>
      <w:r>
        <w:rPr>
          <w:snapToGrid w:val="0"/>
        </w:rPr>
        <w:t xml:space="preserve">附件三 </w:t>
      </w:r>
      <w:r>
        <w:rPr>
          <w:rFonts w:ascii="Times New Roman" w:hAnsi="Times New Roman" w:cs="Times New Roman"/>
          <w:color w:val="000000"/>
        </w:rPr>
        <w:t>内蒙古晟能能源有限责任公司年处理60万吨工业固废综合利用项目批复及验收意见</w:t>
      </w:r>
    </w:p>
    <w:p>
      <w:pPr>
        <w:pStyle w:val="82"/>
        <w:rPr>
          <w:rFonts w:hint="default"/>
          <w:snapToGrid w:val="0"/>
        </w:rPr>
      </w:pPr>
      <w:r>
        <w:drawing>
          <wp:inline distT="0" distB="0" distL="0" distR="0">
            <wp:extent cx="5274310" cy="7533005"/>
            <wp:effectExtent l="0" t="0" r="2540" b="0"/>
            <wp:docPr id="2081482659"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81482659" name="图片 4"/>
                    <pic:cNvPicPr>
                      <a:picLocks noChangeAspect="true" noChangeArrowheads="true"/>
                    </pic:cNvPicPr>
                  </pic:nvPicPr>
                  <pic:blipFill>
                    <a:blip r:embed="rId46" cstate="print">
                      <a:extLst>
                        <a:ext uri="{28A0092B-C50C-407E-A947-70E740481C1C}">
                          <a14:useLocalDpi xmlns:a14="http://schemas.microsoft.com/office/drawing/2010/main" val="false"/>
                        </a:ext>
                      </a:extLst>
                    </a:blip>
                    <a:srcRect/>
                    <a:stretch>
                      <a:fillRect/>
                    </a:stretch>
                  </pic:blipFill>
                  <pic:spPr>
                    <a:xfrm>
                      <a:off x="0" y="0"/>
                      <a:ext cx="5274310" cy="7533555"/>
                    </a:xfrm>
                    <a:prstGeom prst="rect">
                      <a:avLst/>
                    </a:prstGeom>
                    <a:noFill/>
                    <a:ln>
                      <a:noFill/>
                    </a:ln>
                  </pic:spPr>
                </pic:pic>
              </a:graphicData>
            </a:graphic>
          </wp:inline>
        </w:drawing>
      </w:r>
      <w:r>
        <w:drawing>
          <wp:inline distT="0" distB="0" distL="0" distR="0">
            <wp:extent cx="5690235" cy="7995285"/>
            <wp:effectExtent l="0" t="0" r="5715" b="5715"/>
            <wp:docPr id="4517310"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517310" name="图片 5"/>
                    <pic:cNvPicPr>
                      <a:picLocks noChangeAspect="true" noChangeArrowheads="true"/>
                    </pic:cNvPicPr>
                  </pic:nvPicPr>
                  <pic:blipFill>
                    <a:blip r:embed="rId47" cstate="print">
                      <a:extLst>
                        <a:ext uri="{28A0092B-C50C-407E-A947-70E740481C1C}">
                          <a14:useLocalDpi xmlns:a14="http://schemas.microsoft.com/office/drawing/2010/main" val="false"/>
                        </a:ext>
                      </a:extLst>
                    </a:blip>
                    <a:srcRect/>
                    <a:stretch>
                      <a:fillRect/>
                    </a:stretch>
                  </pic:blipFill>
                  <pic:spPr>
                    <a:xfrm>
                      <a:off x="0" y="0"/>
                      <a:ext cx="5694851" cy="8001178"/>
                    </a:xfrm>
                    <a:prstGeom prst="rect">
                      <a:avLst/>
                    </a:prstGeom>
                    <a:noFill/>
                    <a:ln>
                      <a:noFill/>
                    </a:ln>
                  </pic:spPr>
                </pic:pic>
              </a:graphicData>
            </a:graphic>
          </wp:inline>
        </w:drawing>
      </w:r>
      <w:r>
        <w:drawing>
          <wp:inline distT="0" distB="0" distL="0" distR="0">
            <wp:extent cx="5709920" cy="8031480"/>
            <wp:effectExtent l="0" t="0" r="5080" b="7620"/>
            <wp:docPr id="1436823847"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36823847" name="图片 6"/>
                    <pic:cNvPicPr>
                      <a:picLocks noChangeAspect="true" noChangeArrowheads="true"/>
                    </pic:cNvPicPr>
                  </pic:nvPicPr>
                  <pic:blipFill>
                    <a:blip r:embed="rId48" cstate="print">
                      <a:extLst>
                        <a:ext uri="{28A0092B-C50C-407E-A947-70E740481C1C}">
                          <a14:useLocalDpi xmlns:a14="http://schemas.microsoft.com/office/drawing/2010/main" val="false"/>
                        </a:ext>
                      </a:extLst>
                    </a:blip>
                    <a:srcRect/>
                    <a:stretch>
                      <a:fillRect/>
                    </a:stretch>
                  </pic:blipFill>
                  <pic:spPr>
                    <a:xfrm>
                      <a:off x="0" y="0"/>
                      <a:ext cx="5714702" cy="8037969"/>
                    </a:xfrm>
                    <a:prstGeom prst="rect">
                      <a:avLst/>
                    </a:prstGeom>
                    <a:noFill/>
                    <a:ln>
                      <a:noFill/>
                    </a:ln>
                  </pic:spPr>
                </pic:pic>
              </a:graphicData>
            </a:graphic>
          </wp:inline>
        </w:drawing>
      </w:r>
      <w:r>
        <w:drawing>
          <wp:inline distT="0" distB="0" distL="0" distR="0">
            <wp:extent cx="5704205" cy="8112125"/>
            <wp:effectExtent l="0" t="0" r="0" b="3175"/>
            <wp:docPr id="603368659"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03368659" name="图片 7"/>
                    <pic:cNvPicPr>
                      <a:picLocks noChangeAspect="true" noChangeArrowheads="true"/>
                    </pic:cNvPicPr>
                  </pic:nvPicPr>
                  <pic:blipFill>
                    <a:blip r:embed="rId49" cstate="print">
                      <a:extLst>
                        <a:ext uri="{28A0092B-C50C-407E-A947-70E740481C1C}">
                          <a14:useLocalDpi xmlns:a14="http://schemas.microsoft.com/office/drawing/2010/main" val="false"/>
                        </a:ext>
                      </a:extLst>
                    </a:blip>
                    <a:srcRect/>
                    <a:stretch>
                      <a:fillRect/>
                    </a:stretch>
                  </pic:blipFill>
                  <pic:spPr>
                    <a:xfrm>
                      <a:off x="0" y="0"/>
                      <a:ext cx="5706714" cy="8115622"/>
                    </a:xfrm>
                    <a:prstGeom prst="rect">
                      <a:avLst/>
                    </a:prstGeom>
                    <a:noFill/>
                    <a:ln>
                      <a:noFill/>
                    </a:ln>
                  </pic:spPr>
                </pic:pic>
              </a:graphicData>
            </a:graphic>
          </wp:inline>
        </w:drawing>
      </w:r>
      <w:r>
        <w:drawing>
          <wp:inline distT="0" distB="0" distL="0" distR="0">
            <wp:extent cx="6214110" cy="8367395"/>
            <wp:effectExtent l="0" t="0" r="0" b="0"/>
            <wp:docPr id="1166471150"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66471150" name="图片 1"/>
                    <pic:cNvPicPr>
                      <a:picLocks noChangeAspect="true"/>
                    </pic:cNvPicPr>
                  </pic:nvPicPr>
                  <pic:blipFill>
                    <a:blip r:embed="rId50"/>
                    <a:srcRect b="4836"/>
                    <a:stretch>
                      <a:fillRect/>
                    </a:stretch>
                  </pic:blipFill>
                  <pic:spPr>
                    <a:xfrm>
                      <a:off x="0" y="0"/>
                      <a:ext cx="6220501" cy="8375589"/>
                    </a:xfrm>
                    <a:prstGeom prst="rect">
                      <a:avLst/>
                    </a:prstGeom>
                    <a:ln>
                      <a:noFill/>
                    </a:ln>
                  </pic:spPr>
                </pic:pic>
              </a:graphicData>
            </a:graphic>
          </wp:inline>
        </w:drawing>
      </w:r>
      <w:r>
        <w:drawing>
          <wp:inline distT="0" distB="0" distL="0" distR="0">
            <wp:extent cx="6308725" cy="8470900"/>
            <wp:effectExtent l="0" t="0" r="0" b="6350"/>
            <wp:docPr id="1909275838"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09275838" name="图片 1"/>
                    <pic:cNvPicPr>
                      <a:picLocks noChangeAspect="true"/>
                    </pic:cNvPicPr>
                  </pic:nvPicPr>
                  <pic:blipFill>
                    <a:blip r:embed="rId51"/>
                    <a:srcRect b="5103"/>
                    <a:stretch>
                      <a:fillRect/>
                    </a:stretch>
                  </pic:blipFill>
                  <pic:spPr>
                    <a:xfrm>
                      <a:off x="0" y="0"/>
                      <a:ext cx="6318365" cy="8483526"/>
                    </a:xfrm>
                    <a:prstGeom prst="rect">
                      <a:avLst/>
                    </a:prstGeom>
                    <a:ln>
                      <a:noFill/>
                    </a:ln>
                  </pic:spPr>
                </pic:pic>
              </a:graphicData>
            </a:graphic>
          </wp:inline>
        </w:drawing>
      </w:r>
      <w:r>
        <w:drawing>
          <wp:inline distT="0" distB="0" distL="0" distR="0">
            <wp:extent cx="6238240" cy="8401685"/>
            <wp:effectExtent l="0" t="0" r="0" b="0"/>
            <wp:docPr id="2141464576"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41464576" name="图片 1"/>
                    <pic:cNvPicPr>
                      <a:picLocks noChangeAspect="true"/>
                    </pic:cNvPicPr>
                  </pic:nvPicPr>
                  <pic:blipFill>
                    <a:blip r:embed="rId52"/>
                    <a:srcRect b="4809"/>
                    <a:stretch>
                      <a:fillRect/>
                    </a:stretch>
                  </pic:blipFill>
                  <pic:spPr>
                    <a:xfrm>
                      <a:off x="0" y="0"/>
                      <a:ext cx="6247479" cy="8414345"/>
                    </a:xfrm>
                    <a:prstGeom prst="rect">
                      <a:avLst/>
                    </a:prstGeom>
                    <a:ln>
                      <a:noFill/>
                    </a:ln>
                  </pic:spPr>
                </pic:pic>
              </a:graphicData>
            </a:graphic>
          </wp:inline>
        </w:drawing>
      </w:r>
      <w:r>
        <w:drawing>
          <wp:inline distT="0" distB="0" distL="0" distR="0">
            <wp:extent cx="6403975" cy="8669020"/>
            <wp:effectExtent l="0" t="0" r="0" b="0"/>
            <wp:docPr id="1831883217"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31883217" name="图片 1"/>
                    <pic:cNvPicPr>
                      <a:picLocks noChangeAspect="true"/>
                    </pic:cNvPicPr>
                  </pic:nvPicPr>
                  <pic:blipFill>
                    <a:blip r:embed="rId53"/>
                    <a:srcRect b="4319"/>
                    <a:stretch>
                      <a:fillRect/>
                    </a:stretch>
                  </pic:blipFill>
                  <pic:spPr>
                    <a:xfrm>
                      <a:off x="0" y="0"/>
                      <a:ext cx="6411469" cy="8679680"/>
                    </a:xfrm>
                    <a:prstGeom prst="rect">
                      <a:avLst/>
                    </a:prstGeom>
                    <a:ln>
                      <a:noFill/>
                    </a:ln>
                  </pic:spPr>
                </pic:pic>
              </a:graphicData>
            </a:graphic>
          </wp:inline>
        </w:drawing>
      </w:r>
      <w:r>
        <w:drawing>
          <wp:inline distT="0" distB="0" distL="0" distR="0">
            <wp:extent cx="6276340" cy="8496935"/>
            <wp:effectExtent l="0" t="0" r="0" b="0"/>
            <wp:docPr id="1828593802"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28593802" name="图片 1"/>
                    <pic:cNvPicPr>
                      <a:picLocks noChangeAspect="true"/>
                    </pic:cNvPicPr>
                  </pic:nvPicPr>
                  <pic:blipFill>
                    <a:blip r:embed="rId54"/>
                    <a:srcRect b="4319"/>
                    <a:stretch>
                      <a:fillRect/>
                    </a:stretch>
                  </pic:blipFill>
                  <pic:spPr>
                    <a:xfrm>
                      <a:off x="0" y="0"/>
                      <a:ext cx="6281386" cy="8503576"/>
                    </a:xfrm>
                    <a:prstGeom prst="rect">
                      <a:avLst/>
                    </a:prstGeom>
                    <a:ln>
                      <a:noFill/>
                    </a:ln>
                  </pic:spPr>
                </pic:pic>
              </a:graphicData>
            </a:graphic>
          </wp:inline>
        </w:drawing>
      </w:r>
    </w:p>
    <w:p>
      <w:pPr>
        <w:adjustRightInd w:val="0"/>
        <w:snapToGrid w:val="0"/>
        <w:spacing w:before="249" w:beforeLines="80" w:after="31" w:afterLines="10" w:line="259" w:lineRule="auto"/>
        <w:jc w:val="left"/>
        <w:rPr>
          <w:snapToGrid w:val="0"/>
        </w:rPr>
        <w:sectPr>
          <w:pgSz w:w="11906" w:h="16838"/>
          <w:pgMar w:top="1440" w:right="1800" w:bottom="1440" w:left="1800" w:header="851" w:footer="992" w:gutter="0"/>
          <w:cols w:space="425" w:num="1"/>
          <w:docGrid w:type="lines" w:linePitch="312" w:charSpace="0"/>
        </w:sectPr>
      </w:pPr>
    </w:p>
    <w:p>
      <w:pPr>
        <w:adjustRightInd w:val="0"/>
        <w:snapToGrid w:val="0"/>
        <w:spacing w:line="360" w:lineRule="auto"/>
        <w:ind w:firstLine="480" w:firstLineChars="200"/>
        <w:outlineLvl w:val="0"/>
        <w:rPr>
          <w:rFonts w:ascii="宋体" w:hAnsi="宋体" w:eastAsia="宋体"/>
          <w:snapToGrid w:val="0"/>
          <w:sz w:val="24"/>
          <w:szCs w:val="24"/>
        </w:rPr>
      </w:pPr>
      <w:r>
        <w:rPr>
          <w:rFonts w:hint="eastAsia" w:ascii="宋体" w:hAnsi="宋体" w:eastAsia="宋体"/>
          <w:snapToGrid w:val="0"/>
          <w:sz w:val="24"/>
          <w:szCs w:val="24"/>
        </w:rPr>
        <w:t xml:space="preserve">附件四 </w:t>
      </w:r>
      <w:r>
        <w:rPr>
          <w:rFonts w:hint="eastAsia" w:ascii="宋体" w:hAnsi="宋体" w:eastAsia="宋体"/>
          <w:sz w:val="24"/>
          <w:szCs w:val="24"/>
        </w:rPr>
        <w:t>内蒙古晟能能源有限责任公司工业固废综合利用技术改造项目批复</w:t>
      </w:r>
    </w:p>
    <w:p>
      <w:pPr>
        <w:adjustRightInd w:val="0"/>
        <w:snapToGrid w:val="0"/>
        <w:spacing w:before="249" w:beforeLines="80" w:after="31" w:afterLines="10" w:line="259" w:lineRule="auto"/>
        <w:jc w:val="left"/>
      </w:pPr>
      <w:r>
        <w:drawing>
          <wp:inline distT="0" distB="0" distL="0" distR="0">
            <wp:extent cx="5648325" cy="7739380"/>
            <wp:effectExtent l="0" t="0" r="9525" b="0"/>
            <wp:docPr id="11" name="图片 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true"/>
                    </pic:cNvPicPr>
                  </pic:nvPicPr>
                  <pic:blipFill>
                    <a:blip r:embed="rId55"/>
                    <a:stretch>
                      <a:fillRect/>
                    </a:stretch>
                  </pic:blipFill>
                  <pic:spPr>
                    <a:xfrm>
                      <a:off x="0" y="0"/>
                      <a:ext cx="5656007" cy="7749878"/>
                    </a:xfrm>
                    <a:prstGeom prst="rect">
                      <a:avLst/>
                    </a:prstGeom>
                  </pic:spPr>
                </pic:pic>
              </a:graphicData>
            </a:graphic>
          </wp:inline>
        </w:drawing>
      </w:r>
      <w:r>
        <w:t xml:space="preserve"> </w:t>
      </w:r>
      <w:r>
        <w:drawing>
          <wp:inline distT="0" distB="0" distL="0" distR="0">
            <wp:extent cx="5778500" cy="7848600"/>
            <wp:effectExtent l="0" t="0" r="0" b="0"/>
            <wp:docPr id="12" name="图片 1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true"/>
                    </pic:cNvPicPr>
                  </pic:nvPicPr>
                  <pic:blipFill>
                    <a:blip r:embed="rId56"/>
                    <a:stretch>
                      <a:fillRect/>
                    </a:stretch>
                  </pic:blipFill>
                  <pic:spPr>
                    <a:xfrm>
                      <a:off x="0" y="0"/>
                      <a:ext cx="5787835" cy="7861279"/>
                    </a:xfrm>
                    <a:prstGeom prst="rect">
                      <a:avLst/>
                    </a:prstGeom>
                  </pic:spPr>
                </pic:pic>
              </a:graphicData>
            </a:graphic>
          </wp:inline>
        </w:drawing>
      </w:r>
      <w:r>
        <w:drawing>
          <wp:inline distT="0" distB="0" distL="0" distR="0">
            <wp:extent cx="5292725" cy="7527290"/>
            <wp:effectExtent l="0" t="0" r="3175" b="0"/>
            <wp:docPr id="14" name="图片 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true"/>
                    </pic:cNvPicPr>
                  </pic:nvPicPr>
                  <pic:blipFill>
                    <a:blip r:embed="rId57"/>
                    <a:stretch>
                      <a:fillRect/>
                    </a:stretch>
                  </pic:blipFill>
                  <pic:spPr>
                    <a:xfrm>
                      <a:off x="0" y="0"/>
                      <a:ext cx="5304232" cy="7543519"/>
                    </a:xfrm>
                    <a:prstGeom prst="rect">
                      <a:avLst/>
                    </a:prstGeom>
                  </pic:spPr>
                </pic:pic>
              </a:graphicData>
            </a:graphic>
          </wp:inline>
        </w:drawing>
      </w:r>
      <w:r>
        <w:t xml:space="preserve"> </w:t>
      </w:r>
      <w:r>
        <w:drawing>
          <wp:inline distT="0" distB="0" distL="0" distR="0">
            <wp:extent cx="5507355" cy="7768590"/>
            <wp:effectExtent l="0" t="0" r="0" b="3810"/>
            <wp:docPr id="16" name="图片 1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true"/>
                    </pic:cNvPicPr>
                  </pic:nvPicPr>
                  <pic:blipFill>
                    <a:blip r:embed="rId58"/>
                    <a:stretch>
                      <a:fillRect/>
                    </a:stretch>
                  </pic:blipFill>
                  <pic:spPr>
                    <a:xfrm>
                      <a:off x="0" y="0"/>
                      <a:ext cx="5515599" cy="7780030"/>
                    </a:xfrm>
                    <a:prstGeom prst="rect">
                      <a:avLst/>
                    </a:prstGeom>
                  </pic:spPr>
                </pic:pic>
              </a:graphicData>
            </a:graphic>
          </wp:inline>
        </w:drawing>
      </w:r>
      <w:r>
        <w:t xml:space="preserve">   </w:t>
      </w:r>
    </w:p>
    <w:p>
      <w:pPr>
        <w:adjustRightInd w:val="0"/>
        <w:snapToGrid w:val="0"/>
        <w:spacing w:before="249" w:beforeLines="80" w:after="31" w:afterLines="10" w:line="259" w:lineRule="auto"/>
        <w:jc w:val="left"/>
      </w:pPr>
    </w:p>
    <w:p>
      <w:pPr>
        <w:adjustRightInd w:val="0"/>
        <w:snapToGrid w:val="0"/>
        <w:spacing w:before="249" w:beforeLines="80" w:after="31" w:afterLines="10" w:line="259" w:lineRule="auto"/>
        <w:jc w:val="left"/>
      </w:pPr>
    </w:p>
    <w:p>
      <w:pPr>
        <w:adjustRightInd w:val="0"/>
        <w:snapToGrid w:val="0"/>
        <w:spacing w:before="249" w:beforeLines="80" w:after="31" w:afterLines="10" w:line="259" w:lineRule="auto"/>
        <w:jc w:val="left"/>
      </w:pPr>
    </w:p>
    <w:p>
      <w:pPr>
        <w:adjustRightInd w:val="0"/>
        <w:snapToGrid w:val="0"/>
        <w:spacing w:line="360" w:lineRule="auto"/>
        <w:ind w:firstLine="480" w:firstLineChars="200"/>
        <w:outlineLvl w:val="0"/>
        <w:rPr>
          <w:rFonts w:ascii="宋体" w:hAnsi="宋体" w:eastAsia="宋体"/>
          <w:snapToGrid w:val="0"/>
          <w:sz w:val="24"/>
          <w:szCs w:val="24"/>
        </w:rPr>
      </w:pPr>
      <w:bookmarkStart w:id="351" w:name="OLE_LINK189"/>
      <w:bookmarkStart w:id="352" w:name="OLE_LINK156"/>
      <w:r>
        <w:rPr>
          <w:rFonts w:hint="eastAsia" w:ascii="宋体" w:hAnsi="宋体" w:eastAsia="宋体"/>
          <w:snapToGrid w:val="0"/>
          <w:sz w:val="24"/>
          <w:szCs w:val="24"/>
        </w:rPr>
        <w:t xml:space="preserve">附件五 </w:t>
      </w:r>
      <w:r>
        <w:rPr>
          <w:rFonts w:hint="eastAsia" w:ascii="宋体" w:hAnsi="宋体" w:eastAsia="宋体"/>
          <w:sz w:val="24"/>
          <w:szCs w:val="24"/>
        </w:rPr>
        <w:t>园区不涉及文物保护单位证明文件</w:t>
      </w:r>
    </w:p>
    <w:bookmarkEnd w:id="351"/>
    <w:bookmarkEnd w:id="352"/>
    <w:p>
      <w:pPr>
        <w:adjustRightInd w:val="0"/>
        <w:snapToGrid w:val="0"/>
        <w:spacing w:before="249" w:beforeLines="80" w:after="31" w:afterLines="10" w:line="259" w:lineRule="auto"/>
        <w:jc w:val="left"/>
        <w:sectPr>
          <w:pgSz w:w="11906" w:h="16838"/>
          <w:pgMar w:top="1440" w:right="1800" w:bottom="1440" w:left="1800" w:header="851" w:footer="992" w:gutter="0"/>
          <w:cols w:space="425" w:num="1"/>
          <w:docGrid w:type="lines" w:linePitch="312" w:charSpace="0"/>
        </w:sectPr>
      </w:pPr>
      <w:r>
        <w:drawing>
          <wp:inline distT="0" distB="0" distL="0" distR="0">
            <wp:extent cx="5597525" cy="7344410"/>
            <wp:effectExtent l="0" t="0" r="3175" b="8890"/>
            <wp:docPr id="2103224488"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03224488" name="图片 1"/>
                    <pic:cNvPicPr>
                      <a:picLocks noChangeAspect="true"/>
                    </pic:cNvPicPr>
                  </pic:nvPicPr>
                  <pic:blipFill>
                    <a:blip r:embed="rId59"/>
                    <a:stretch>
                      <a:fillRect/>
                    </a:stretch>
                  </pic:blipFill>
                  <pic:spPr>
                    <a:xfrm>
                      <a:off x="0" y="0"/>
                      <a:ext cx="5598967" cy="7346345"/>
                    </a:xfrm>
                    <a:prstGeom prst="rect">
                      <a:avLst/>
                    </a:prstGeom>
                  </pic:spPr>
                </pic:pic>
              </a:graphicData>
            </a:graphic>
          </wp:inline>
        </w:drawing>
      </w:r>
      <w:r>
        <w:drawing>
          <wp:inline distT="0" distB="0" distL="0" distR="0">
            <wp:extent cx="5671820" cy="7366000"/>
            <wp:effectExtent l="0" t="0" r="5080" b="6350"/>
            <wp:docPr id="982916857"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82916857" name="图片 1"/>
                    <pic:cNvPicPr>
                      <a:picLocks noChangeAspect="true"/>
                    </pic:cNvPicPr>
                  </pic:nvPicPr>
                  <pic:blipFill>
                    <a:blip r:embed="rId60"/>
                    <a:stretch>
                      <a:fillRect/>
                    </a:stretch>
                  </pic:blipFill>
                  <pic:spPr>
                    <a:xfrm>
                      <a:off x="0" y="0"/>
                      <a:ext cx="5674546" cy="7369664"/>
                    </a:xfrm>
                    <a:prstGeom prst="rect">
                      <a:avLst/>
                    </a:prstGeom>
                  </pic:spPr>
                </pic:pic>
              </a:graphicData>
            </a:graphic>
          </wp:inline>
        </w:drawing>
      </w:r>
      <w:r>
        <w:drawing>
          <wp:inline distT="0" distB="0" distL="0" distR="0">
            <wp:extent cx="6282690" cy="7918450"/>
            <wp:effectExtent l="0" t="0" r="3810" b="6350"/>
            <wp:docPr id="1959464295"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59464295" name="图片 1"/>
                    <pic:cNvPicPr>
                      <a:picLocks noChangeAspect="true"/>
                    </pic:cNvPicPr>
                  </pic:nvPicPr>
                  <pic:blipFill>
                    <a:blip r:embed="rId61"/>
                    <a:stretch>
                      <a:fillRect/>
                    </a:stretch>
                  </pic:blipFill>
                  <pic:spPr>
                    <a:xfrm>
                      <a:off x="0" y="0"/>
                      <a:ext cx="6287976" cy="7925469"/>
                    </a:xfrm>
                    <a:prstGeom prst="rect">
                      <a:avLst/>
                    </a:prstGeom>
                  </pic:spPr>
                </pic:pic>
              </a:graphicData>
            </a:graphic>
          </wp:inline>
        </w:drawing>
      </w:r>
      <w:r>
        <w:drawing>
          <wp:inline distT="0" distB="0" distL="0" distR="0">
            <wp:extent cx="5613400" cy="7848600"/>
            <wp:effectExtent l="0" t="0" r="6350" b="0"/>
            <wp:docPr id="1321610149"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21610149" name="图片 1"/>
                    <pic:cNvPicPr>
                      <a:picLocks noChangeAspect="true"/>
                    </pic:cNvPicPr>
                  </pic:nvPicPr>
                  <pic:blipFill>
                    <a:blip r:embed="rId62"/>
                    <a:stretch>
                      <a:fillRect/>
                    </a:stretch>
                  </pic:blipFill>
                  <pic:spPr>
                    <a:xfrm>
                      <a:off x="0" y="0"/>
                      <a:ext cx="5616360" cy="7853220"/>
                    </a:xfrm>
                    <a:prstGeom prst="rect">
                      <a:avLst/>
                    </a:prstGeom>
                  </pic:spPr>
                </pic:pic>
              </a:graphicData>
            </a:graphic>
          </wp:inline>
        </w:drawing>
      </w:r>
      <w:r>
        <w:drawing>
          <wp:inline distT="0" distB="0" distL="0" distR="0">
            <wp:extent cx="6179185" cy="8617585"/>
            <wp:effectExtent l="0" t="0" r="0" b="0"/>
            <wp:docPr id="1140448531"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40448531" name="图片 1"/>
                    <pic:cNvPicPr>
                      <a:picLocks noChangeAspect="true"/>
                    </pic:cNvPicPr>
                  </pic:nvPicPr>
                  <pic:blipFill>
                    <a:blip r:embed="rId63"/>
                    <a:stretch>
                      <a:fillRect/>
                    </a:stretch>
                  </pic:blipFill>
                  <pic:spPr>
                    <a:xfrm>
                      <a:off x="0" y="0"/>
                      <a:ext cx="6188343" cy="8629712"/>
                    </a:xfrm>
                    <a:prstGeom prst="rect">
                      <a:avLst/>
                    </a:prstGeom>
                  </pic:spPr>
                </pic:pic>
              </a:graphicData>
            </a:graphic>
          </wp:inline>
        </w:drawing>
      </w:r>
    </w:p>
    <w:p>
      <w:pPr>
        <w:adjustRightInd w:val="0"/>
        <w:snapToGrid w:val="0"/>
        <w:spacing w:before="249" w:beforeLines="80" w:after="31" w:afterLines="10" w:line="259" w:lineRule="auto"/>
        <w:jc w:val="left"/>
      </w:pPr>
    </w:p>
    <w:p>
      <w:pPr>
        <w:adjustRightInd w:val="0"/>
        <w:snapToGrid w:val="0"/>
        <w:spacing w:line="360" w:lineRule="auto"/>
        <w:ind w:firstLine="480" w:firstLineChars="200"/>
        <w:outlineLvl w:val="0"/>
        <w:rPr>
          <w:rFonts w:ascii="宋体" w:hAnsi="宋体" w:eastAsia="宋体"/>
          <w:snapToGrid w:val="0"/>
          <w:sz w:val="24"/>
          <w:szCs w:val="24"/>
        </w:rPr>
      </w:pPr>
      <w:bookmarkStart w:id="353" w:name="OLE_LINK299"/>
      <w:bookmarkStart w:id="354" w:name="OLE_LINK300"/>
      <w:r>
        <w:rPr>
          <w:rFonts w:hint="eastAsia" w:ascii="宋体" w:hAnsi="宋体" w:eastAsia="宋体"/>
          <w:snapToGrid w:val="0"/>
          <w:sz w:val="24"/>
          <w:szCs w:val="24"/>
        </w:rPr>
        <w:t xml:space="preserve">附件六 </w:t>
      </w:r>
      <w:r>
        <w:rPr>
          <w:rFonts w:hint="eastAsia" w:ascii="宋体" w:hAnsi="宋体" w:eastAsia="宋体"/>
          <w:sz w:val="24"/>
          <w:szCs w:val="24"/>
        </w:rPr>
        <w:t>原环评环境质量监测报告</w:t>
      </w:r>
    </w:p>
    <w:bookmarkEnd w:id="353"/>
    <w:bookmarkEnd w:id="354"/>
    <w:p>
      <w:pPr>
        <w:adjustRightInd w:val="0"/>
        <w:snapToGrid w:val="0"/>
        <w:spacing w:before="249" w:beforeLines="80" w:after="31" w:afterLines="10" w:line="259" w:lineRule="auto"/>
        <w:jc w:val="left"/>
      </w:pPr>
      <w:r>
        <w:drawing>
          <wp:inline distT="0" distB="0" distL="0" distR="0">
            <wp:extent cx="5493385" cy="7789545"/>
            <wp:effectExtent l="0" t="0" r="0" b="1905"/>
            <wp:docPr id="3"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true"/>
                    </pic:cNvPicPr>
                  </pic:nvPicPr>
                  <pic:blipFill>
                    <a:blip r:embed="rId64"/>
                    <a:stretch>
                      <a:fillRect/>
                    </a:stretch>
                  </pic:blipFill>
                  <pic:spPr>
                    <a:xfrm>
                      <a:off x="0" y="0"/>
                      <a:ext cx="5502576" cy="7801827"/>
                    </a:xfrm>
                    <a:prstGeom prst="rect">
                      <a:avLst/>
                    </a:prstGeom>
                  </pic:spPr>
                </pic:pic>
              </a:graphicData>
            </a:graphic>
          </wp:inline>
        </w:drawing>
      </w:r>
      <w:r>
        <w:t xml:space="preserve"> </w:t>
      </w:r>
      <w:r>
        <w:drawing>
          <wp:inline distT="0" distB="0" distL="0" distR="0">
            <wp:extent cx="5898515" cy="7442200"/>
            <wp:effectExtent l="0" t="0" r="6985" b="6350"/>
            <wp:docPr id="4"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true"/>
                    </pic:cNvPicPr>
                  </pic:nvPicPr>
                  <pic:blipFill>
                    <a:blip r:embed="rId65"/>
                    <a:stretch>
                      <a:fillRect/>
                    </a:stretch>
                  </pic:blipFill>
                  <pic:spPr>
                    <a:xfrm>
                      <a:off x="0" y="0"/>
                      <a:ext cx="5904223" cy="7449585"/>
                    </a:xfrm>
                    <a:prstGeom prst="rect">
                      <a:avLst/>
                    </a:prstGeom>
                  </pic:spPr>
                </pic:pic>
              </a:graphicData>
            </a:graphic>
          </wp:inline>
        </w:drawing>
      </w:r>
    </w:p>
    <w:p>
      <w:pPr>
        <w:adjustRightInd w:val="0"/>
        <w:snapToGrid w:val="0"/>
        <w:spacing w:before="249" w:beforeLines="80" w:after="31" w:afterLines="10" w:line="259" w:lineRule="auto"/>
        <w:jc w:val="left"/>
      </w:pPr>
      <w:r>
        <w:t xml:space="preserve"> </w:t>
      </w:r>
      <w:r>
        <w:drawing>
          <wp:inline distT="0" distB="0" distL="0" distR="0">
            <wp:extent cx="5637530" cy="7640955"/>
            <wp:effectExtent l="0" t="0" r="1270" b="0"/>
            <wp:docPr id="5"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true"/>
                    </pic:cNvPicPr>
                  </pic:nvPicPr>
                  <pic:blipFill>
                    <a:blip r:embed="rId66"/>
                    <a:stretch>
                      <a:fillRect/>
                    </a:stretch>
                  </pic:blipFill>
                  <pic:spPr>
                    <a:xfrm>
                      <a:off x="0" y="0"/>
                      <a:ext cx="5645203" cy="7651169"/>
                    </a:xfrm>
                    <a:prstGeom prst="rect">
                      <a:avLst/>
                    </a:prstGeom>
                  </pic:spPr>
                </pic:pic>
              </a:graphicData>
            </a:graphic>
          </wp:inline>
        </w:drawing>
      </w:r>
      <w:r>
        <w:t xml:space="preserve"> </w:t>
      </w:r>
      <w:r>
        <w:drawing>
          <wp:inline distT="0" distB="0" distL="0" distR="0">
            <wp:extent cx="5669280" cy="7934960"/>
            <wp:effectExtent l="0" t="0" r="7620" b="8890"/>
            <wp:docPr id="6"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true"/>
                    </pic:cNvPicPr>
                  </pic:nvPicPr>
                  <pic:blipFill>
                    <a:blip r:embed="rId67"/>
                    <a:stretch>
                      <a:fillRect/>
                    </a:stretch>
                  </pic:blipFill>
                  <pic:spPr>
                    <a:xfrm>
                      <a:off x="0" y="0"/>
                      <a:ext cx="5678214" cy="7947218"/>
                    </a:xfrm>
                    <a:prstGeom prst="rect">
                      <a:avLst/>
                    </a:prstGeom>
                  </pic:spPr>
                </pic:pic>
              </a:graphicData>
            </a:graphic>
          </wp:inline>
        </w:drawing>
      </w:r>
    </w:p>
    <w:p>
      <w:pPr>
        <w:adjustRightInd w:val="0"/>
        <w:snapToGrid w:val="0"/>
        <w:spacing w:before="249" w:beforeLines="80" w:after="31" w:afterLines="10" w:line="259" w:lineRule="auto"/>
        <w:jc w:val="left"/>
      </w:pPr>
    </w:p>
    <w:p>
      <w:pPr>
        <w:adjustRightInd w:val="0"/>
        <w:snapToGrid w:val="0"/>
        <w:spacing w:before="249" w:beforeLines="80" w:after="31" w:afterLines="10" w:line="259" w:lineRule="auto"/>
        <w:jc w:val="left"/>
      </w:pPr>
    </w:p>
    <w:p>
      <w:pPr>
        <w:adjustRightInd w:val="0"/>
        <w:snapToGrid w:val="0"/>
        <w:spacing w:line="360" w:lineRule="auto"/>
        <w:ind w:firstLine="480" w:firstLineChars="200"/>
        <w:outlineLvl w:val="0"/>
        <w:rPr>
          <w:rFonts w:ascii="宋体" w:hAnsi="宋体" w:eastAsia="宋体"/>
          <w:snapToGrid w:val="0"/>
          <w:sz w:val="24"/>
          <w:szCs w:val="24"/>
        </w:rPr>
      </w:pPr>
      <w:r>
        <w:rPr>
          <w:rFonts w:hint="eastAsia" w:ascii="宋体" w:hAnsi="宋体" w:eastAsia="宋体"/>
          <w:snapToGrid w:val="0"/>
          <w:sz w:val="24"/>
          <w:szCs w:val="24"/>
        </w:rPr>
        <w:t xml:space="preserve">附件七 </w:t>
      </w:r>
      <w:r>
        <w:rPr>
          <w:rFonts w:hint="eastAsia" w:ascii="宋体" w:hAnsi="宋体" w:eastAsia="宋体"/>
          <w:sz w:val="24"/>
          <w:szCs w:val="24"/>
        </w:rPr>
        <w:t>入园许可</w:t>
      </w:r>
    </w:p>
    <w:p>
      <w:pPr>
        <w:adjustRightInd w:val="0"/>
        <w:snapToGrid w:val="0"/>
        <w:spacing w:before="249" w:beforeLines="80" w:after="31" w:afterLines="10" w:line="259" w:lineRule="auto"/>
        <w:jc w:val="left"/>
      </w:pPr>
      <w:r>
        <w:drawing>
          <wp:inline distT="0" distB="0" distL="0" distR="0">
            <wp:extent cx="5448300" cy="7543800"/>
            <wp:effectExtent l="0" t="0" r="0" b="0"/>
            <wp:docPr id="13" name="图片 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true"/>
                    </pic:cNvPicPr>
                  </pic:nvPicPr>
                  <pic:blipFill>
                    <a:blip r:embed="rId68"/>
                    <a:stretch>
                      <a:fillRect/>
                    </a:stretch>
                  </pic:blipFill>
                  <pic:spPr>
                    <a:xfrm>
                      <a:off x="0" y="0"/>
                      <a:ext cx="5450765" cy="7546809"/>
                    </a:xfrm>
                    <a:prstGeom prst="rect">
                      <a:avLst/>
                    </a:prstGeom>
                  </pic:spPr>
                </pic:pic>
              </a:graphicData>
            </a:graphic>
          </wp:inline>
        </w:drawing>
      </w:r>
    </w:p>
    <w:p>
      <w:pPr>
        <w:adjustRightInd w:val="0"/>
        <w:snapToGrid w:val="0"/>
        <w:spacing w:before="249" w:beforeLines="80" w:after="31" w:afterLines="10" w:line="259" w:lineRule="auto"/>
        <w:jc w:val="left"/>
        <w:rPr>
          <w:snapToGrid w:val="0"/>
        </w:rPr>
      </w:pPr>
    </w:p>
    <w:p>
      <w:pPr>
        <w:adjustRightInd w:val="0"/>
        <w:snapToGrid w:val="0"/>
        <w:spacing w:before="249" w:beforeLines="80" w:after="31" w:afterLines="10" w:line="259" w:lineRule="auto"/>
        <w:jc w:val="left"/>
        <w:rPr>
          <w:snapToGrid w:val="0"/>
        </w:rPr>
      </w:pPr>
    </w:p>
    <w:p>
      <w:pPr>
        <w:adjustRightInd w:val="0"/>
        <w:snapToGrid w:val="0"/>
        <w:spacing w:line="360" w:lineRule="auto"/>
        <w:ind w:firstLine="480" w:firstLineChars="200"/>
        <w:outlineLvl w:val="0"/>
        <w:rPr>
          <w:rFonts w:ascii="宋体" w:hAnsi="宋体" w:eastAsia="宋体"/>
          <w:sz w:val="24"/>
          <w:szCs w:val="24"/>
        </w:rPr>
      </w:pPr>
      <w:r>
        <w:rPr>
          <w:rFonts w:hint="eastAsia" w:ascii="宋体" w:hAnsi="宋体" w:eastAsia="宋体"/>
          <w:snapToGrid w:val="0"/>
          <w:sz w:val="24"/>
          <w:szCs w:val="24"/>
        </w:rPr>
        <w:t xml:space="preserve">附件八 </w:t>
      </w:r>
      <w:r>
        <w:rPr>
          <w:rFonts w:hint="eastAsia" w:ascii="宋体" w:hAnsi="宋体" w:eastAsia="宋体"/>
          <w:sz w:val="24"/>
          <w:szCs w:val="24"/>
        </w:rPr>
        <w:t>危废处置协议</w:t>
      </w:r>
    </w:p>
    <w:p>
      <w:pPr>
        <w:adjustRightInd w:val="0"/>
        <w:snapToGrid w:val="0"/>
        <w:spacing w:line="360" w:lineRule="auto"/>
        <w:ind w:firstLine="420" w:firstLineChars="200"/>
        <w:rPr>
          <w:rFonts w:ascii="宋体" w:hAnsi="宋体" w:eastAsia="宋体"/>
          <w:sz w:val="24"/>
          <w:szCs w:val="24"/>
        </w:rPr>
      </w:pPr>
      <w:r>
        <w:rPr>
          <w:rFonts w:hint="eastAsia"/>
        </w:rPr>
        <w:drawing>
          <wp:inline distT="0" distB="0" distL="0" distR="0">
            <wp:extent cx="5536565" cy="7839075"/>
            <wp:effectExtent l="0" t="0" r="6985" b="0"/>
            <wp:docPr id="1397972524" name="图片 2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97972524" name="图片 24"/>
                    <pic:cNvPicPr>
                      <a:picLocks noChangeAspect="true" noChangeArrowheads="true"/>
                    </pic:cNvPicPr>
                  </pic:nvPicPr>
                  <pic:blipFill>
                    <a:blip r:embed="rId69">
                      <a:extLst>
                        <a:ext uri="{28A0092B-C50C-407E-A947-70E740481C1C}">
                          <a14:useLocalDpi xmlns:a14="http://schemas.microsoft.com/office/drawing/2010/main" val="false"/>
                        </a:ext>
                      </a:extLst>
                    </a:blip>
                    <a:srcRect/>
                    <a:stretch>
                      <a:fillRect/>
                    </a:stretch>
                  </pic:blipFill>
                  <pic:spPr>
                    <a:xfrm>
                      <a:off x="0" y="0"/>
                      <a:ext cx="5541663" cy="7845681"/>
                    </a:xfrm>
                    <a:prstGeom prst="rect">
                      <a:avLst/>
                    </a:prstGeom>
                    <a:noFill/>
                    <a:ln>
                      <a:noFill/>
                    </a:ln>
                  </pic:spPr>
                </pic:pic>
              </a:graphicData>
            </a:graphic>
          </wp:inline>
        </w:drawing>
      </w:r>
      <w:r>
        <w:rPr>
          <w:rFonts w:hint="eastAsia"/>
        </w:rPr>
        <w:drawing>
          <wp:inline distT="0" distB="0" distL="0" distR="0">
            <wp:extent cx="7999730" cy="5662930"/>
            <wp:effectExtent l="6350" t="0" r="7620" b="7620"/>
            <wp:docPr id="1531311130" name="图片 2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31311130" name="图片 25"/>
                    <pic:cNvPicPr>
                      <a:picLocks noChangeAspect="true" noChangeArrowheads="true"/>
                    </pic:cNvPicPr>
                  </pic:nvPicPr>
                  <pic:blipFill>
                    <a:blip r:embed="rId70" cstate="print">
                      <a:extLst>
                        <a:ext uri="{28A0092B-C50C-407E-A947-70E740481C1C}">
                          <a14:useLocalDpi xmlns:a14="http://schemas.microsoft.com/office/drawing/2010/main" val="false"/>
                        </a:ext>
                      </a:extLst>
                    </a:blip>
                    <a:srcRect/>
                    <a:stretch>
                      <a:fillRect/>
                    </a:stretch>
                  </pic:blipFill>
                  <pic:spPr>
                    <a:xfrm rot="16200000">
                      <a:off x="0" y="0"/>
                      <a:ext cx="8008831" cy="5669377"/>
                    </a:xfrm>
                    <a:prstGeom prst="rect">
                      <a:avLst/>
                    </a:prstGeom>
                    <a:noFill/>
                    <a:ln>
                      <a:noFill/>
                    </a:ln>
                  </pic:spPr>
                </pic:pic>
              </a:graphicData>
            </a:graphic>
          </wp:inline>
        </w:drawing>
      </w:r>
    </w:p>
    <w:p>
      <w:pPr>
        <w:adjustRightInd w:val="0"/>
        <w:snapToGrid w:val="0"/>
        <w:spacing w:before="249" w:beforeLines="80" w:after="31" w:afterLines="10" w:line="259" w:lineRule="auto"/>
        <w:jc w:val="left"/>
        <w:rPr>
          <w:snapToGrid w:val="0"/>
        </w:rPr>
        <w:sectPr>
          <w:pgSz w:w="11906" w:h="16838"/>
          <w:pgMar w:top="1440" w:right="1800" w:bottom="1440" w:left="1800" w:header="851" w:footer="992" w:gutter="0"/>
          <w:cols w:space="425" w:num="1"/>
          <w:docGrid w:type="lines" w:linePitch="312" w:charSpace="0"/>
        </w:sectPr>
      </w:pPr>
      <w:r>
        <w:rPr>
          <w:rFonts w:hint="eastAsia"/>
        </w:rPr>
        <w:drawing>
          <wp:inline distT="0" distB="0" distL="0" distR="0">
            <wp:extent cx="8142605" cy="5764530"/>
            <wp:effectExtent l="7938" t="0" r="0" b="0"/>
            <wp:docPr id="1243554485" name="图片 2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43554485" name="图片 26"/>
                    <pic:cNvPicPr>
                      <a:picLocks noChangeAspect="true" noChangeArrowheads="true"/>
                    </pic:cNvPicPr>
                  </pic:nvPicPr>
                  <pic:blipFill>
                    <a:blip r:embed="rId71" cstate="print">
                      <a:extLst>
                        <a:ext uri="{28A0092B-C50C-407E-A947-70E740481C1C}">
                          <a14:useLocalDpi xmlns:a14="http://schemas.microsoft.com/office/drawing/2010/main" val="false"/>
                        </a:ext>
                      </a:extLst>
                    </a:blip>
                    <a:srcRect/>
                    <a:stretch>
                      <a:fillRect/>
                    </a:stretch>
                  </pic:blipFill>
                  <pic:spPr>
                    <a:xfrm rot="16200000">
                      <a:off x="0" y="0"/>
                      <a:ext cx="8151071" cy="5770259"/>
                    </a:xfrm>
                    <a:prstGeom prst="rect">
                      <a:avLst/>
                    </a:prstGeom>
                    <a:noFill/>
                    <a:ln>
                      <a:noFill/>
                    </a:ln>
                  </pic:spPr>
                </pic:pic>
              </a:graphicData>
            </a:graphic>
          </wp:inline>
        </w:drawing>
      </w:r>
      <w:r>
        <w:rPr>
          <w:rFonts w:hint="eastAsia"/>
        </w:rPr>
        <w:drawing>
          <wp:inline distT="0" distB="0" distL="0" distR="0">
            <wp:extent cx="8314690" cy="5885180"/>
            <wp:effectExtent l="0" t="4445" r="5715" b="5715"/>
            <wp:docPr id="235914463" name="图片 2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5914463" name="图片 27"/>
                    <pic:cNvPicPr>
                      <a:picLocks noChangeAspect="true" noChangeArrowheads="true"/>
                    </pic:cNvPicPr>
                  </pic:nvPicPr>
                  <pic:blipFill>
                    <a:blip r:embed="rId72" cstate="print">
                      <a:extLst>
                        <a:ext uri="{28A0092B-C50C-407E-A947-70E740481C1C}">
                          <a14:useLocalDpi xmlns:a14="http://schemas.microsoft.com/office/drawing/2010/main" val="false"/>
                        </a:ext>
                      </a:extLst>
                    </a:blip>
                    <a:srcRect/>
                    <a:stretch>
                      <a:fillRect/>
                    </a:stretch>
                  </pic:blipFill>
                  <pic:spPr>
                    <a:xfrm rot="16200000">
                      <a:off x="0" y="0"/>
                      <a:ext cx="8321377" cy="5890393"/>
                    </a:xfrm>
                    <a:prstGeom prst="rect">
                      <a:avLst/>
                    </a:prstGeom>
                    <a:noFill/>
                    <a:ln>
                      <a:noFill/>
                    </a:ln>
                  </pic:spPr>
                </pic:pic>
              </a:graphicData>
            </a:graphic>
          </wp:inline>
        </w:drawing>
      </w:r>
      <w:r>
        <w:rPr>
          <w:rFonts w:hint="eastAsia"/>
        </w:rPr>
        <w:drawing>
          <wp:inline distT="0" distB="0" distL="0" distR="0">
            <wp:extent cx="8237855" cy="5831840"/>
            <wp:effectExtent l="2858" t="0" r="0" b="0"/>
            <wp:docPr id="2077754550" name="图片 2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77754550" name="图片 28"/>
                    <pic:cNvPicPr>
                      <a:picLocks noChangeAspect="true" noChangeArrowheads="true"/>
                    </pic:cNvPicPr>
                  </pic:nvPicPr>
                  <pic:blipFill>
                    <a:blip r:embed="rId73" cstate="print">
                      <a:extLst>
                        <a:ext uri="{28A0092B-C50C-407E-A947-70E740481C1C}">
                          <a14:useLocalDpi xmlns:a14="http://schemas.microsoft.com/office/drawing/2010/main" val="false"/>
                        </a:ext>
                      </a:extLst>
                    </a:blip>
                    <a:srcRect/>
                    <a:stretch>
                      <a:fillRect/>
                    </a:stretch>
                  </pic:blipFill>
                  <pic:spPr>
                    <a:xfrm rot="16200000">
                      <a:off x="0" y="0"/>
                      <a:ext cx="8242486" cy="5835237"/>
                    </a:xfrm>
                    <a:prstGeom prst="rect">
                      <a:avLst/>
                    </a:prstGeom>
                    <a:noFill/>
                    <a:ln>
                      <a:noFill/>
                    </a:ln>
                  </pic:spPr>
                </pic:pic>
              </a:graphicData>
            </a:graphic>
          </wp:inline>
        </w:drawing>
      </w:r>
      <w:r>
        <w:rPr>
          <w:rFonts w:hint="eastAsia"/>
        </w:rPr>
        <w:drawing>
          <wp:inline distT="0" distB="0" distL="0" distR="0">
            <wp:extent cx="8237855" cy="5831840"/>
            <wp:effectExtent l="2858" t="0" r="0" b="0"/>
            <wp:docPr id="233125491" name="图片 2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3125491" name="图片 29"/>
                    <pic:cNvPicPr>
                      <a:picLocks noChangeAspect="true" noChangeArrowheads="true"/>
                    </pic:cNvPicPr>
                  </pic:nvPicPr>
                  <pic:blipFill>
                    <a:blip r:embed="rId74" cstate="print">
                      <a:extLst>
                        <a:ext uri="{28A0092B-C50C-407E-A947-70E740481C1C}">
                          <a14:useLocalDpi xmlns:a14="http://schemas.microsoft.com/office/drawing/2010/main" val="false"/>
                        </a:ext>
                      </a:extLst>
                    </a:blip>
                    <a:srcRect/>
                    <a:stretch>
                      <a:fillRect/>
                    </a:stretch>
                  </pic:blipFill>
                  <pic:spPr>
                    <a:xfrm rot="16200000">
                      <a:off x="0" y="0"/>
                      <a:ext cx="8248112" cy="5838906"/>
                    </a:xfrm>
                    <a:prstGeom prst="rect">
                      <a:avLst/>
                    </a:prstGeom>
                    <a:noFill/>
                    <a:ln>
                      <a:noFill/>
                    </a:ln>
                  </pic:spPr>
                </pic:pic>
              </a:graphicData>
            </a:graphic>
          </wp:inline>
        </w:drawing>
      </w:r>
      <w:r>
        <w:rPr>
          <w:rFonts w:hint="eastAsia"/>
        </w:rPr>
        <w:drawing>
          <wp:inline distT="0" distB="0" distL="0" distR="0">
            <wp:extent cx="8089900" cy="5716270"/>
            <wp:effectExtent l="5715" t="0" r="0" b="0"/>
            <wp:docPr id="555256295" name="图片 3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55256295" name="图片 32"/>
                    <pic:cNvPicPr>
                      <a:picLocks noChangeAspect="true" noChangeArrowheads="true"/>
                    </pic:cNvPicPr>
                  </pic:nvPicPr>
                  <pic:blipFill>
                    <a:blip r:embed="rId75" cstate="print">
                      <a:extLst>
                        <a:ext uri="{28A0092B-C50C-407E-A947-70E740481C1C}">
                          <a14:useLocalDpi xmlns:a14="http://schemas.microsoft.com/office/drawing/2010/main" val="false"/>
                        </a:ext>
                      </a:extLst>
                    </a:blip>
                    <a:srcRect/>
                    <a:stretch>
                      <a:fillRect/>
                    </a:stretch>
                  </pic:blipFill>
                  <pic:spPr>
                    <a:xfrm rot="5400000">
                      <a:off x="0" y="0"/>
                      <a:ext cx="8096388" cy="5720695"/>
                    </a:xfrm>
                    <a:prstGeom prst="rect">
                      <a:avLst/>
                    </a:prstGeom>
                    <a:noFill/>
                    <a:ln>
                      <a:noFill/>
                    </a:ln>
                  </pic:spPr>
                </pic:pic>
              </a:graphicData>
            </a:graphic>
          </wp:inline>
        </w:drawing>
      </w:r>
      <w:r>
        <w:rPr>
          <w:rFonts w:hint="eastAsia"/>
        </w:rPr>
        <w:drawing>
          <wp:inline distT="0" distB="0" distL="0" distR="0">
            <wp:extent cx="8018145" cy="5666105"/>
            <wp:effectExtent l="0" t="5080" r="0" b="0"/>
            <wp:docPr id="1014278309" name="图片 3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14278309" name="图片 30"/>
                    <pic:cNvPicPr>
                      <a:picLocks noChangeAspect="true" noChangeArrowheads="true"/>
                    </pic:cNvPicPr>
                  </pic:nvPicPr>
                  <pic:blipFill>
                    <a:blip r:embed="rId76">
                      <a:extLst>
                        <a:ext uri="{28A0092B-C50C-407E-A947-70E740481C1C}">
                          <a14:useLocalDpi xmlns:a14="http://schemas.microsoft.com/office/drawing/2010/main" val="false"/>
                        </a:ext>
                      </a:extLst>
                    </a:blip>
                    <a:srcRect/>
                    <a:stretch>
                      <a:fillRect/>
                    </a:stretch>
                  </pic:blipFill>
                  <pic:spPr>
                    <a:xfrm rot="5400000">
                      <a:off x="0" y="0"/>
                      <a:ext cx="8026025" cy="5671391"/>
                    </a:xfrm>
                    <a:prstGeom prst="rect">
                      <a:avLst/>
                    </a:prstGeom>
                    <a:noFill/>
                    <a:ln>
                      <a:noFill/>
                    </a:ln>
                  </pic:spPr>
                </pic:pic>
              </a:graphicData>
            </a:graphic>
          </wp:inline>
        </w:drawing>
      </w:r>
      <w:r>
        <w:rPr>
          <w:rFonts w:hint="eastAsia"/>
        </w:rPr>
        <w:drawing>
          <wp:inline distT="0" distB="0" distL="0" distR="0">
            <wp:extent cx="8223250" cy="5810250"/>
            <wp:effectExtent l="6350" t="0" r="0" b="0"/>
            <wp:docPr id="1109903519" name="图片 3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09903519" name="图片 31"/>
                    <pic:cNvPicPr>
                      <a:picLocks noChangeAspect="true" noChangeArrowheads="true"/>
                    </pic:cNvPicPr>
                  </pic:nvPicPr>
                  <pic:blipFill>
                    <a:blip r:embed="rId77" cstate="print">
                      <a:extLst>
                        <a:ext uri="{28A0092B-C50C-407E-A947-70E740481C1C}">
                          <a14:useLocalDpi xmlns:a14="http://schemas.microsoft.com/office/drawing/2010/main" val="false"/>
                        </a:ext>
                      </a:extLst>
                    </a:blip>
                    <a:srcRect/>
                    <a:stretch>
                      <a:fillRect/>
                    </a:stretch>
                  </pic:blipFill>
                  <pic:spPr>
                    <a:xfrm rot="5400000">
                      <a:off x="0" y="0"/>
                      <a:ext cx="8230598" cy="5815685"/>
                    </a:xfrm>
                    <a:prstGeom prst="rect">
                      <a:avLst/>
                    </a:prstGeom>
                    <a:noFill/>
                    <a:ln>
                      <a:noFill/>
                    </a:ln>
                  </pic:spPr>
                </pic:pic>
              </a:graphicData>
            </a:graphic>
          </wp:inline>
        </w:drawing>
      </w:r>
    </w:p>
    <w:p>
      <w:pPr>
        <w:adjustRightInd w:val="0"/>
        <w:snapToGrid w:val="0"/>
        <w:spacing w:line="360" w:lineRule="auto"/>
        <w:ind w:firstLine="480" w:firstLineChars="200"/>
        <w:outlineLvl w:val="0"/>
        <w:rPr>
          <w:rFonts w:ascii="宋体" w:hAnsi="宋体" w:eastAsia="宋体"/>
          <w:sz w:val="24"/>
          <w:szCs w:val="24"/>
        </w:rPr>
      </w:pPr>
      <w:r>
        <w:rPr>
          <w:rFonts w:hint="eastAsia" w:ascii="宋体" w:hAnsi="宋体" w:eastAsia="宋体"/>
          <w:snapToGrid w:val="0"/>
          <w:sz w:val="24"/>
          <w:szCs w:val="24"/>
        </w:rPr>
        <w:t>附件九 生产工艺</w:t>
      </w:r>
      <w:r>
        <w:rPr>
          <w:rFonts w:hint="eastAsia" w:ascii="宋体" w:hAnsi="宋体" w:eastAsia="宋体"/>
          <w:sz w:val="24"/>
          <w:szCs w:val="24"/>
        </w:rPr>
        <w:t>专利</w:t>
      </w:r>
    </w:p>
    <w:p>
      <w:pPr>
        <w:adjustRightInd w:val="0"/>
        <w:snapToGrid w:val="0"/>
        <w:spacing w:before="249" w:beforeLines="80" w:after="31" w:afterLines="10" w:line="259" w:lineRule="auto"/>
        <w:jc w:val="left"/>
        <w:sectPr>
          <w:pgSz w:w="11906" w:h="16838"/>
          <w:pgMar w:top="1440" w:right="1800" w:bottom="1440" w:left="1800" w:header="851" w:footer="992" w:gutter="0"/>
          <w:cols w:space="425" w:num="1"/>
          <w:docGrid w:type="lines" w:linePitch="312" w:charSpace="0"/>
        </w:sectPr>
      </w:pPr>
      <w:r>
        <w:drawing>
          <wp:inline distT="0" distB="0" distL="0" distR="0">
            <wp:extent cx="5683250" cy="8048625"/>
            <wp:effectExtent l="0" t="0" r="0" b="0"/>
            <wp:docPr id="15" name="图片 1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true"/>
                    </pic:cNvPicPr>
                  </pic:nvPicPr>
                  <pic:blipFill>
                    <a:blip r:embed="rId78"/>
                    <a:stretch>
                      <a:fillRect/>
                    </a:stretch>
                  </pic:blipFill>
                  <pic:spPr>
                    <a:xfrm>
                      <a:off x="0" y="0"/>
                      <a:ext cx="5691515" cy="8060238"/>
                    </a:xfrm>
                    <a:prstGeom prst="rect">
                      <a:avLst/>
                    </a:prstGeom>
                  </pic:spPr>
                </pic:pic>
              </a:graphicData>
            </a:graphic>
          </wp:inline>
        </w:drawing>
      </w:r>
      <w:r>
        <w:t xml:space="preserve"> </w:t>
      </w:r>
      <w:r>
        <w:drawing>
          <wp:inline distT="0" distB="0" distL="0" distR="0">
            <wp:extent cx="5444490" cy="8382000"/>
            <wp:effectExtent l="0" t="0" r="3810" b="0"/>
            <wp:docPr id="17" name="图片 1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true"/>
                    </pic:cNvPicPr>
                  </pic:nvPicPr>
                  <pic:blipFill>
                    <a:blip r:embed="rId79"/>
                    <a:stretch>
                      <a:fillRect/>
                    </a:stretch>
                  </pic:blipFill>
                  <pic:spPr>
                    <a:xfrm>
                      <a:off x="0" y="0"/>
                      <a:ext cx="5453295" cy="8394769"/>
                    </a:xfrm>
                    <a:prstGeom prst="rect">
                      <a:avLst/>
                    </a:prstGeom>
                  </pic:spPr>
                </pic:pic>
              </a:graphicData>
            </a:graphic>
          </wp:inline>
        </w:drawing>
      </w:r>
      <w:r>
        <w:t xml:space="preserve"> </w:t>
      </w:r>
      <w:r>
        <w:drawing>
          <wp:inline distT="0" distB="0" distL="0" distR="0">
            <wp:extent cx="5581015" cy="8591550"/>
            <wp:effectExtent l="0" t="0" r="635" b="0"/>
            <wp:docPr id="19" name="图片 1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true"/>
                    </pic:cNvPicPr>
                  </pic:nvPicPr>
                  <pic:blipFill>
                    <a:blip r:embed="rId80"/>
                    <a:stretch>
                      <a:fillRect/>
                    </a:stretch>
                  </pic:blipFill>
                  <pic:spPr>
                    <a:xfrm>
                      <a:off x="0" y="0"/>
                      <a:ext cx="5587359" cy="8601147"/>
                    </a:xfrm>
                    <a:prstGeom prst="rect">
                      <a:avLst/>
                    </a:prstGeom>
                  </pic:spPr>
                </pic:pic>
              </a:graphicData>
            </a:graphic>
          </wp:inline>
        </w:drawing>
      </w:r>
      <w:r>
        <w:t xml:space="preserve"> </w:t>
      </w:r>
      <w:r>
        <w:drawing>
          <wp:inline distT="0" distB="0" distL="0" distR="0">
            <wp:extent cx="5316855" cy="8286750"/>
            <wp:effectExtent l="0" t="0" r="0" b="0"/>
            <wp:docPr id="20" name="图片 2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true"/>
                    </pic:cNvPicPr>
                  </pic:nvPicPr>
                  <pic:blipFill>
                    <a:blip r:embed="rId81"/>
                    <a:stretch>
                      <a:fillRect/>
                    </a:stretch>
                  </pic:blipFill>
                  <pic:spPr>
                    <a:xfrm>
                      <a:off x="0" y="0"/>
                      <a:ext cx="5324151" cy="8297805"/>
                    </a:xfrm>
                    <a:prstGeom prst="rect">
                      <a:avLst/>
                    </a:prstGeom>
                  </pic:spPr>
                </pic:pic>
              </a:graphicData>
            </a:graphic>
          </wp:inline>
        </w:drawing>
      </w:r>
      <w:r>
        <w:t xml:space="preserve"> </w:t>
      </w:r>
      <w:r>
        <w:drawing>
          <wp:inline distT="0" distB="0" distL="0" distR="0">
            <wp:extent cx="5513705" cy="8420100"/>
            <wp:effectExtent l="0" t="0" r="0" b="0"/>
            <wp:docPr id="21" name="图片 2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true"/>
                    </pic:cNvPicPr>
                  </pic:nvPicPr>
                  <pic:blipFill>
                    <a:blip r:embed="rId82"/>
                    <a:stretch>
                      <a:fillRect/>
                    </a:stretch>
                  </pic:blipFill>
                  <pic:spPr>
                    <a:xfrm>
                      <a:off x="0" y="0"/>
                      <a:ext cx="5522423" cy="8433039"/>
                    </a:xfrm>
                    <a:prstGeom prst="rect">
                      <a:avLst/>
                    </a:prstGeom>
                  </pic:spPr>
                </pic:pic>
              </a:graphicData>
            </a:graphic>
          </wp:inline>
        </w:drawing>
      </w:r>
      <w:r>
        <w:t xml:space="preserve"> </w:t>
      </w:r>
      <w:r>
        <w:drawing>
          <wp:inline distT="0" distB="0" distL="0" distR="0">
            <wp:extent cx="5579110" cy="8486775"/>
            <wp:effectExtent l="0" t="0" r="2540" b="0"/>
            <wp:docPr id="22" name="图片 2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true"/>
                    </pic:cNvPicPr>
                  </pic:nvPicPr>
                  <pic:blipFill>
                    <a:blip r:embed="rId83"/>
                    <a:stretch>
                      <a:fillRect/>
                    </a:stretch>
                  </pic:blipFill>
                  <pic:spPr>
                    <a:xfrm>
                      <a:off x="0" y="0"/>
                      <a:ext cx="5587614" cy="8499469"/>
                    </a:xfrm>
                    <a:prstGeom prst="rect">
                      <a:avLst/>
                    </a:prstGeom>
                  </pic:spPr>
                </pic:pic>
              </a:graphicData>
            </a:graphic>
          </wp:inline>
        </w:drawing>
      </w:r>
      <w:r>
        <w:t xml:space="preserve"> </w:t>
      </w:r>
      <w:r>
        <w:drawing>
          <wp:inline distT="0" distB="0" distL="0" distR="0">
            <wp:extent cx="5534025" cy="8458200"/>
            <wp:effectExtent l="0" t="0" r="9525" b="0"/>
            <wp:docPr id="24" name="图片 2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true"/>
                    </pic:cNvPicPr>
                  </pic:nvPicPr>
                  <pic:blipFill>
                    <a:blip r:embed="rId84"/>
                    <a:stretch>
                      <a:fillRect/>
                    </a:stretch>
                  </pic:blipFill>
                  <pic:spPr>
                    <a:xfrm>
                      <a:off x="0" y="0"/>
                      <a:ext cx="5540642" cy="8467354"/>
                    </a:xfrm>
                    <a:prstGeom prst="rect">
                      <a:avLst/>
                    </a:prstGeom>
                  </pic:spPr>
                </pic:pic>
              </a:graphicData>
            </a:graphic>
          </wp:inline>
        </w:drawing>
      </w:r>
      <w:r>
        <w:t xml:space="preserve"> </w:t>
      </w:r>
      <w:r>
        <w:drawing>
          <wp:inline distT="0" distB="0" distL="0" distR="0">
            <wp:extent cx="5403850" cy="8334375"/>
            <wp:effectExtent l="0" t="0" r="6350" b="0"/>
            <wp:docPr id="25" name="图片 2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true"/>
                    </pic:cNvPicPr>
                  </pic:nvPicPr>
                  <pic:blipFill>
                    <a:blip r:embed="rId85"/>
                    <a:stretch>
                      <a:fillRect/>
                    </a:stretch>
                  </pic:blipFill>
                  <pic:spPr>
                    <a:xfrm>
                      <a:off x="0" y="0"/>
                      <a:ext cx="5410299" cy="8344130"/>
                    </a:xfrm>
                    <a:prstGeom prst="rect">
                      <a:avLst/>
                    </a:prstGeom>
                  </pic:spPr>
                </pic:pic>
              </a:graphicData>
            </a:graphic>
          </wp:inline>
        </w:drawing>
      </w:r>
      <w:r>
        <w:t xml:space="preserve"> </w:t>
      </w:r>
      <w:r>
        <w:drawing>
          <wp:inline distT="0" distB="0" distL="0" distR="0">
            <wp:extent cx="5391785" cy="8334375"/>
            <wp:effectExtent l="0" t="0" r="0" b="0"/>
            <wp:docPr id="26" name="图片 2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true"/>
                    </pic:cNvPicPr>
                  </pic:nvPicPr>
                  <pic:blipFill>
                    <a:blip r:embed="rId86"/>
                    <a:stretch>
                      <a:fillRect/>
                    </a:stretch>
                  </pic:blipFill>
                  <pic:spPr>
                    <a:xfrm>
                      <a:off x="0" y="0"/>
                      <a:ext cx="5397660" cy="8342835"/>
                    </a:xfrm>
                    <a:prstGeom prst="rect">
                      <a:avLst/>
                    </a:prstGeom>
                  </pic:spPr>
                </pic:pic>
              </a:graphicData>
            </a:graphic>
          </wp:inline>
        </w:drawing>
      </w:r>
      <w:r>
        <w:t xml:space="preserve"> </w:t>
      </w:r>
      <w:r>
        <w:drawing>
          <wp:inline distT="0" distB="0" distL="0" distR="0">
            <wp:extent cx="5556250" cy="8610600"/>
            <wp:effectExtent l="0" t="0" r="6350" b="0"/>
            <wp:docPr id="27" name="图片 2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true"/>
                    </pic:cNvPicPr>
                  </pic:nvPicPr>
                  <pic:blipFill>
                    <a:blip r:embed="rId87"/>
                    <a:stretch>
                      <a:fillRect/>
                    </a:stretch>
                  </pic:blipFill>
                  <pic:spPr>
                    <a:xfrm>
                      <a:off x="0" y="0"/>
                      <a:ext cx="5560232" cy="8616667"/>
                    </a:xfrm>
                    <a:prstGeom prst="rect">
                      <a:avLst/>
                    </a:prstGeom>
                  </pic:spPr>
                </pic:pic>
              </a:graphicData>
            </a:graphic>
          </wp:inline>
        </w:drawing>
      </w:r>
      <w:r>
        <w:t xml:space="preserve"> </w:t>
      </w:r>
      <w:r>
        <w:drawing>
          <wp:inline distT="0" distB="0" distL="0" distR="0">
            <wp:extent cx="5643245" cy="8667750"/>
            <wp:effectExtent l="0" t="0" r="0" b="0"/>
            <wp:docPr id="28" name="图片 2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true"/>
                    </pic:cNvPicPr>
                  </pic:nvPicPr>
                  <pic:blipFill>
                    <a:blip r:embed="rId88"/>
                    <a:stretch>
                      <a:fillRect/>
                    </a:stretch>
                  </pic:blipFill>
                  <pic:spPr>
                    <a:xfrm>
                      <a:off x="0" y="0"/>
                      <a:ext cx="5649751" cy="8677208"/>
                    </a:xfrm>
                    <a:prstGeom prst="rect">
                      <a:avLst/>
                    </a:prstGeom>
                  </pic:spPr>
                </pic:pic>
              </a:graphicData>
            </a:graphic>
          </wp:inline>
        </w:drawing>
      </w:r>
      <w:r>
        <w:t xml:space="preserve"> </w:t>
      </w:r>
      <w:r>
        <w:drawing>
          <wp:inline distT="0" distB="0" distL="0" distR="0">
            <wp:extent cx="5538470" cy="8658225"/>
            <wp:effectExtent l="0" t="0" r="5080" b="0"/>
            <wp:docPr id="29" name="图片 2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true"/>
                    </pic:cNvPicPr>
                  </pic:nvPicPr>
                  <pic:blipFill>
                    <a:blip r:embed="rId89"/>
                    <a:stretch>
                      <a:fillRect/>
                    </a:stretch>
                  </pic:blipFill>
                  <pic:spPr>
                    <a:xfrm>
                      <a:off x="0" y="0"/>
                      <a:ext cx="5542230" cy="8663975"/>
                    </a:xfrm>
                    <a:prstGeom prst="rect">
                      <a:avLst/>
                    </a:prstGeom>
                  </pic:spPr>
                </pic:pic>
              </a:graphicData>
            </a:graphic>
          </wp:inline>
        </w:drawing>
      </w:r>
      <w:r>
        <w:t xml:space="preserve"> </w:t>
      </w:r>
      <w:r>
        <w:drawing>
          <wp:inline distT="0" distB="0" distL="0" distR="0">
            <wp:extent cx="5369560" cy="8334375"/>
            <wp:effectExtent l="0" t="0" r="2540" b="0"/>
            <wp:docPr id="30" name="图片 3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true"/>
                    </pic:cNvPicPr>
                  </pic:nvPicPr>
                  <pic:blipFill>
                    <a:blip r:embed="rId90"/>
                    <a:stretch>
                      <a:fillRect/>
                    </a:stretch>
                  </pic:blipFill>
                  <pic:spPr>
                    <a:xfrm>
                      <a:off x="0" y="0"/>
                      <a:ext cx="5374337" cy="8341762"/>
                    </a:xfrm>
                    <a:prstGeom prst="rect">
                      <a:avLst/>
                    </a:prstGeom>
                  </pic:spPr>
                </pic:pic>
              </a:graphicData>
            </a:graphic>
          </wp:inline>
        </w:drawing>
      </w:r>
    </w:p>
    <w:p>
      <w:pPr>
        <w:adjustRightInd w:val="0"/>
        <w:snapToGrid w:val="0"/>
        <w:spacing w:line="360" w:lineRule="auto"/>
        <w:ind w:firstLine="420" w:firstLineChars="200"/>
        <w:outlineLvl w:val="0"/>
        <w:rPr>
          <w:rFonts w:ascii="宋体" w:hAnsi="宋体" w:eastAsia="宋体"/>
          <w:snapToGrid w:val="0"/>
          <w:sz w:val="24"/>
          <w:szCs w:val="24"/>
        </w:rPr>
      </w:pPr>
      <w:r>
        <w:drawing>
          <wp:anchor distT="0" distB="0" distL="114300" distR="114300" simplePos="0" relativeHeight="251669504" behindDoc="0" locked="0" layoutInCell="1" allowOverlap="1">
            <wp:simplePos x="0" y="0"/>
            <wp:positionH relativeFrom="column">
              <wp:posOffset>95250</wp:posOffset>
            </wp:positionH>
            <wp:positionV relativeFrom="paragraph">
              <wp:posOffset>294640</wp:posOffset>
            </wp:positionV>
            <wp:extent cx="5689600" cy="8029575"/>
            <wp:effectExtent l="0" t="0" r="6350" b="9525"/>
            <wp:wrapTopAndBottom/>
            <wp:docPr id="31" name="图片 3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true"/>
                    </pic:cNvPicPr>
                  </pic:nvPicPr>
                  <pic:blipFill>
                    <a:blip r:embed="rId91">
                      <a:extLst>
                        <a:ext uri="{28A0092B-C50C-407E-A947-70E740481C1C}">
                          <a14:useLocalDpi xmlns:a14="http://schemas.microsoft.com/office/drawing/2010/main" val="false"/>
                        </a:ext>
                      </a:extLst>
                    </a:blip>
                    <a:stretch>
                      <a:fillRect/>
                    </a:stretch>
                  </pic:blipFill>
                  <pic:spPr>
                    <a:xfrm>
                      <a:off x="0" y="0"/>
                      <a:ext cx="5689600" cy="8029575"/>
                    </a:xfrm>
                    <a:prstGeom prst="rect">
                      <a:avLst/>
                    </a:prstGeom>
                  </pic:spPr>
                </pic:pic>
              </a:graphicData>
            </a:graphic>
          </wp:anchor>
        </w:drawing>
      </w:r>
      <w:r>
        <w:rPr>
          <w:rFonts w:hint="eastAsia" w:ascii="宋体" w:hAnsi="宋体" w:eastAsia="宋体"/>
          <w:snapToGrid w:val="0"/>
          <w:sz w:val="24"/>
          <w:szCs w:val="24"/>
        </w:rPr>
        <w:t>附件十 原料检测成分分析</w:t>
      </w:r>
    </w:p>
    <w:p>
      <w:pPr>
        <w:adjustRightInd w:val="0"/>
        <w:snapToGrid w:val="0"/>
        <w:spacing w:before="249" w:beforeLines="80" w:after="31" w:afterLines="10" w:line="259" w:lineRule="auto"/>
        <w:jc w:val="left"/>
        <w:rPr>
          <w:snapToGrid w:val="0"/>
        </w:rPr>
      </w:pPr>
      <w:r>
        <w:drawing>
          <wp:inline distT="0" distB="0" distL="0" distR="0">
            <wp:extent cx="5536565" cy="8572500"/>
            <wp:effectExtent l="0" t="0" r="6985" b="0"/>
            <wp:docPr id="32" name="图片 3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true"/>
                    </pic:cNvPicPr>
                  </pic:nvPicPr>
                  <pic:blipFill>
                    <a:blip r:embed="rId92"/>
                    <a:stretch>
                      <a:fillRect/>
                    </a:stretch>
                  </pic:blipFill>
                  <pic:spPr>
                    <a:xfrm>
                      <a:off x="0" y="0"/>
                      <a:ext cx="5542279" cy="8580514"/>
                    </a:xfrm>
                    <a:prstGeom prst="rect">
                      <a:avLst/>
                    </a:prstGeom>
                  </pic:spPr>
                </pic:pic>
              </a:graphicData>
            </a:graphic>
          </wp:inline>
        </w:drawing>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方正书宋_GBK"/>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Nimbus Roman No9 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font>
  <w:font w:name="等线">
    <w:altName w:val="汉仪中宋简"/>
    <w:panose1 w:val="02010600030101010101"/>
    <w:charset w:val="86"/>
    <w:family w:val="auto"/>
    <w:pitch w:val="default"/>
    <w:sig w:usb0="00000000" w:usb1="00000000" w:usb2="00000016" w:usb3="00000000" w:csb0="0004000F" w:csb1="00000000"/>
  </w:font>
  <w:font w:name="仿宋_GB2312">
    <w:panose1 w:val="02010609030101010101"/>
    <w:charset w:val="86"/>
    <w:family w:val="modern"/>
    <w:pitch w:val="default"/>
    <w:sig w:usb0="00000001" w:usb1="080E0000" w:usb2="00000000" w:usb3="00000000" w:csb0="00040000" w:csb1="00000000"/>
  </w:font>
  <w:font w:name="MS Serif">
    <w:altName w:val="仿宋"/>
    <w:panose1 w:val="00000000000000000000"/>
    <w:charset w:val="00"/>
    <w:family w:val="auto"/>
    <w:pitch w:val="default"/>
    <w:sig w:usb0="00000000" w:usb1="00000000" w:usb2="00000000" w:usb3="00000000" w:csb0="00000000" w:csb1="00000000"/>
  </w:font>
  <w:font w:name="楷体">
    <w:panose1 w:val="02010609060101010101"/>
    <w:charset w:val="86"/>
    <w:family w:val="modern"/>
    <w:pitch w:val="default"/>
    <w:sig w:usb0="800002BF" w:usb1="38CF7CFA" w:usb2="00000016" w:usb3="00000000" w:csb0="00040001" w:csb1="00000000"/>
  </w:font>
  <w:font w:name="仿宋">
    <w:panose1 w:val="02010609060101010101"/>
    <w:charset w:val="86"/>
    <w:family w:val="modern"/>
    <w:pitch w:val="default"/>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font>
  <w:font w:name="Cambria Math">
    <w:altName w:val="DejaVu Math TeX Gyre"/>
    <w:panose1 w:val="02040503050406030204"/>
    <w:charset w:val="00"/>
    <w:family w:val="roman"/>
    <w:pitch w:val="default"/>
    <w:sig w:usb0="00000000" w:usb1="00000000" w:usb2="00000000" w:usb3="00000000" w:csb0="0000019F" w:csb1="00000000"/>
  </w:font>
  <w:font w:name="方正小标宋_GBK">
    <w:panose1 w:val="03000509000000000000"/>
    <w:charset w:val="86"/>
    <w:family w:val="script"/>
    <w:pitch w:val="default"/>
    <w:sig w:usb0="00000001" w:usb1="080E0000" w:usb2="00000000" w:usb3="00000000" w:csb0="00040000" w:csb1="00000000"/>
  </w:font>
  <w:font w:name="方正书宋_GBK">
    <w:panose1 w:val="02000000000000000000"/>
    <w:charset w:val="86"/>
    <w:family w:val="auto"/>
    <w:pitch w:val="default"/>
    <w:sig w:usb0="00000001" w:usb1="08000000" w:usb2="00000000" w:usb3="00000000" w:csb0="00040000" w:csb1="00000000"/>
  </w:font>
  <w:font w:name="Nimbus Roman No9 L">
    <w:panose1 w:val="00000000000000000000"/>
    <w:charset w:val="00"/>
    <w:family w:val="auto"/>
    <w:pitch w:val="default"/>
    <w:sig w:usb0="00000000" w:usb1="00000000" w:usb2="00000000" w:usb3="00000000" w:csb0="00000000" w:csb1="00000000"/>
  </w:font>
  <w:font w:name="等线">
    <w:altName w:val="仿宋"/>
    <w:panose1 w:val="00000000000000000000"/>
    <w:charset w:val="00"/>
    <w:family w:val="auto"/>
    <w:pitch w:val="default"/>
    <w:sig w:usb0="00000000" w:usb1="00000000" w:usb2="00000000" w:usb3="00000000" w:csb0="00000000" w:csb1="00000000"/>
  </w:font>
  <w:font w:name="Microsoft YaHei">
    <w:altName w:val="黑体"/>
    <w:panose1 w:val="00000000000000000000"/>
    <w:charset w:val="00"/>
    <w:family w:val="auto"/>
    <w:pitch w:val="default"/>
    <w:sig w:usb0="00000000" w:usb1="00000000" w:usb2="00000000" w:usb3="00000000" w:csb0="00000000" w:csb1="00000000"/>
  </w:font>
  <w:font w:name="Tahoma">
    <w:altName w:val="Droid Sans"/>
    <w:panose1 w:val="00000000000000000000"/>
    <w:charset w:val="00"/>
    <w:family w:val="auto"/>
    <w:pitch w:val="default"/>
    <w:sig w:usb0="00000000" w:usb1="00000000" w:usb2="00000000" w:usb3="00000000" w:csb0="00000000" w:csb1="00000000"/>
  </w:font>
  <w:font w:name="方正宋体S-超大字符集">
    <w:panose1 w:val="02000000000000000000"/>
    <w:charset w:val="86"/>
    <w:family w:val="auto"/>
    <w:pitch w:val="default"/>
    <w:sig w:usb0="00000001" w:usb1="08000000" w:usb2="00000000" w:usb3="00000000" w:csb0="00040000" w:csb1="00000000"/>
  </w:font>
  <w:font w:name="DejaVu Math TeX Gyre">
    <w:panose1 w:val="02000503000000000000"/>
    <w:charset w:val="00"/>
    <w:family w:val="auto"/>
    <w:pitch w:val="default"/>
    <w:sig w:usb0="A10000EF" w:usb1="4201F9EE" w:usb2="02000000" w:usb3="00000000" w:csb0="60000193" w:csb1="0DD40000"/>
  </w:font>
  <w:font w:name="DejaVu Sans">
    <w:panose1 w:val="020B0603030804020204"/>
    <w:charset w:val="00"/>
    <w:family w:val="auto"/>
    <w:pitch w:val="default"/>
    <w:sig w:usb0="E7006EFF" w:usb1="D200FDFF" w:usb2="0A246029" w:usb3="0400200C" w:csb0="600001FF" w:csb1="DFFF0000"/>
  </w:font>
  <w:font w:name="汉仪中宋简">
    <w:panose1 w:val="02010600000101010101"/>
    <w:charset w:val="86"/>
    <w:family w:val="auto"/>
    <w:pitch w:val="default"/>
    <w:sig w:usb0="00000001" w:usb1="080E0800" w:usb2="00000002" w:usb3="00000000" w:csb0="00040000" w:csb1="00000000"/>
  </w:font>
  <w:font w:name="Droid Sans">
    <w:panose1 w:val="020B0606030804020204"/>
    <w:charset w:val="00"/>
    <w:family w:val="auto"/>
    <w:pitch w:val="default"/>
    <w:sig w:usb0="E00002EF" w:usb1="4000205B" w:usb2="00000028"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spacing w:before="24" w:after="2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spacing w:before="24" w:after="24"/>
      <w:jc w:val="center"/>
    </w:pPr>
    <w:r>
      <w:fldChar w:fldCharType="begin"/>
    </w:r>
    <w:r>
      <w:instrText xml:space="preserve">PAGE   \* MERGEFORMAT</w:instrText>
    </w:r>
    <w:r>
      <w:fldChar w:fldCharType="separate"/>
    </w:r>
    <w:r>
      <w:rPr>
        <w:lang w:val="zh-CN"/>
      </w:rPr>
      <w:t>2</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right="360" w:firstLine="360"/>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87" name="文本框 87"/>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wps:spPr>
                    <wps:txbx>
                      <w:txbxContent>
                        <w:p>
                          <w:pPr>
                            <w:pStyle w:val="14"/>
                          </w:pPr>
                          <w:r>
                            <w:fldChar w:fldCharType="begin"/>
                          </w:r>
                          <w:r>
                            <w:instrText xml:space="preserve"> PAGE  \* MERGEFORMAT </w:instrText>
                          </w:r>
                          <w:r>
                            <w:fldChar w:fldCharType="separate"/>
                          </w:r>
                          <w:r>
                            <w:t>7</w:t>
                          </w:r>
                          <w: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FgAAAGRycy9QSwECFAAUAAAACACH&#10;TuJAzql5uc8AAAAFAQAADwAAAAAAAAABACAAAAA4AAAAZHJzL2Rvd25yZXYueG1sUEsBAhQAFAAA&#10;AAgAh07iQAv5/ripAQAARAMAAA4AAAAAAAAAAQAgAAAANAEAAGRycy9lMm9Eb2MueG1sUEsFBgAA&#10;AAAGAAYAWQEAAE8FAAAAAA==&#10;">
              <v:fill on="f" focussize="0,0"/>
              <v:stroke on="f"/>
              <v:imagedata o:title=""/>
              <o:lock v:ext="edit" aspectratio="f"/>
              <v:textbox inset="0mm,0mm,0mm,0mm" style="mso-fit-shape-to-text:t;">
                <w:txbxContent>
                  <w:p>
                    <w:pPr>
                      <w:pStyle w:val="14"/>
                    </w:pPr>
                    <w:r>
                      <w:fldChar w:fldCharType="begin"/>
                    </w:r>
                    <w:r>
                      <w:instrText xml:space="preserve"> PAGE  \* MERGEFORMAT </w:instrText>
                    </w:r>
                    <w:r>
                      <w:fldChar w:fldCharType="separate"/>
                    </w:r>
                    <w:r>
                      <w:t>7</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right="360" w:firstLine="360"/>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93" name="文本框 93"/>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a:noFill/>
                      </a:ln>
                    </wps:spPr>
                    <wps:txbx>
                      <w:txbxContent>
                        <w:p>
                          <w:pPr>
                            <w:pStyle w:val="14"/>
                          </w:pPr>
                          <w:r>
                            <w:fldChar w:fldCharType="begin"/>
                          </w:r>
                          <w:r>
                            <w:instrText xml:space="preserve"> PAGE  \* MERGEFORMAT </w:instrText>
                          </w:r>
                          <w:r>
                            <w:fldChar w:fldCharType="separate"/>
                          </w:r>
                          <w:r>
                            <w:t>8</w:t>
                          </w:r>
                          <w: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FgAAAGRycy9QSwECFAAUAAAACACH&#10;TuJAzql5uc8AAAAFAQAADwAAAAAAAAABACAAAAA4AAAAZHJzL2Rvd25yZXYueG1sUEsBAhQAFAAA&#10;AAgAh07iQPIvz1mpAQAARAMAAA4AAAAAAAAAAQAgAAAANAEAAGRycy9lMm9Eb2MueG1sUEsFBgAA&#10;AAAGAAYAWQEAAE8FAAAAAA==&#10;">
              <v:fill on="f" focussize="0,0"/>
              <v:stroke on="f"/>
              <v:imagedata o:title=""/>
              <o:lock v:ext="edit" aspectratio="f"/>
              <v:textbox inset="0mm,0mm,0mm,0mm" style="mso-fit-shape-to-text:t;">
                <w:txbxContent>
                  <w:p>
                    <w:pPr>
                      <w:pStyle w:val="14"/>
                    </w:pPr>
                    <w:r>
                      <w:fldChar w:fldCharType="begin"/>
                    </w:r>
                    <w:r>
                      <w:instrText xml:space="preserve"> PAGE  \* MERGEFORMAT </w:instrText>
                    </w:r>
                    <w:r>
                      <w:fldChar w:fldCharType="separate"/>
                    </w:r>
                    <w:r>
                      <w:t>8</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ADC450D"/>
    <w:multiLevelType w:val="singleLevel"/>
    <w:tmpl w:val="EADC450D"/>
    <w:lvl w:ilvl="0" w:tentative="0">
      <w:start w:val="1"/>
      <w:numFmt w:val="chineseCounting"/>
      <w:pStyle w:val="90"/>
      <w:suff w:val="nothing"/>
      <w:lvlText w:val="%1、"/>
      <w:lvlJc w:val="left"/>
      <w:pPr>
        <w:ind w:left="5817" w:firstLine="420"/>
      </w:pPr>
      <w:rPr>
        <w:rFonts w:hint="eastAsia"/>
      </w:rPr>
    </w:lvl>
  </w:abstractNum>
  <w:abstractNum w:abstractNumId="1">
    <w:nsid w:val="FE68FEA3"/>
    <w:multiLevelType w:val="multilevel"/>
    <w:tmpl w:val="FE68FEA3"/>
    <w:lvl w:ilvl="0" w:tentative="0">
      <w:start w:val="1"/>
      <w:numFmt w:val="decimal"/>
      <w:pStyle w:val="94"/>
      <w:suff w:val="nothing"/>
      <w:lvlText w:val="(%1)"/>
      <w:lvlJc w:val="left"/>
      <w:pPr>
        <w:ind w:left="840" w:hanging="380"/>
      </w:pPr>
      <w:rPr>
        <w:rFonts w:hint="default"/>
      </w:rPr>
    </w:lvl>
    <w:lvl w:ilvl="1" w:tentative="0">
      <w:start w:val="1"/>
      <w:numFmt w:val="decimalEnclosedCircleChinese"/>
      <w:lvlText w:val="%2"/>
      <w:lvlJc w:val="left"/>
      <w:pPr>
        <w:tabs>
          <w:tab w:val="left" w:pos="1260"/>
        </w:tabs>
        <w:ind w:left="1300" w:hanging="420"/>
      </w:pPr>
      <w:rPr>
        <w:rFonts w:hint="default"/>
      </w:rPr>
    </w:lvl>
    <w:lvl w:ilvl="2" w:tentative="0">
      <w:start w:val="1"/>
      <w:numFmt w:val="decimal"/>
      <w:lvlText w:val="%3)"/>
      <w:lvlJc w:val="left"/>
      <w:pPr>
        <w:tabs>
          <w:tab w:val="left" w:pos="1680"/>
        </w:tabs>
        <w:ind w:left="1720" w:hanging="420"/>
      </w:pPr>
      <w:rPr>
        <w:rFonts w:hint="default"/>
      </w:rPr>
    </w:lvl>
    <w:lvl w:ilvl="3" w:tentative="0">
      <w:start w:val="1"/>
      <w:numFmt w:val="lowerLetter"/>
      <w:lvlText w:val="%4."/>
      <w:lvlJc w:val="left"/>
      <w:pPr>
        <w:tabs>
          <w:tab w:val="left" w:pos="2100"/>
        </w:tabs>
        <w:ind w:left="2140" w:hanging="420"/>
      </w:pPr>
      <w:rPr>
        <w:rFonts w:hint="default"/>
      </w:rPr>
    </w:lvl>
    <w:lvl w:ilvl="4" w:tentative="0">
      <w:start w:val="1"/>
      <w:numFmt w:val="lowerLetter"/>
      <w:lvlText w:val="%5)"/>
      <w:lvlJc w:val="left"/>
      <w:pPr>
        <w:tabs>
          <w:tab w:val="left" w:pos="2520"/>
        </w:tabs>
        <w:ind w:left="2560" w:hanging="420"/>
      </w:pPr>
      <w:rPr>
        <w:rFonts w:hint="default"/>
      </w:rPr>
    </w:lvl>
    <w:lvl w:ilvl="5" w:tentative="0">
      <w:start w:val="1"/>
      <w:numFmt w:val="lowerRoman"/>
      <w:lvlText w:val="%6."/>
      <w:lvlJc w:val="left"/>
      <w:pPr>
        <w:tabs>
          <w:tab w:val="left" w:pos="2940"/>
        </w:tabs>
        <w:ind w:left="2980" w:hanging="420"/>
      </w:pPr>
      <w:rPr>
        <w:rFonts w:hint="default"/>
      </w:rPr>
    </w:lvl>
    <w:lvl w:ilvl="6" w:tentative="0">
      <w:start w:val="1"/>
      <w:numFmt w:val="lowerRoman"/>
      <w:lvlText w:val="%7)"/>
      <w:lvlJc w:val="left"/>
      <w:pPr>
        <w:tabs>
          <w:tab w:val="left" w:pos="3360"/>
        </w:tabs>
        <w:ind w:left="3400" w:hanging="420"/>
      </w:pPr>
      <w:rPr>
        <w:rFonts w:hint="default"/>
      </w:rPr>
    </w:lvl>
    <w:lvl w:ilvl="7" w:tentative="0">
      <w:start w:val="1"/>
      <w:numFmt w:val="lowerLetter"/>
      <w:lvlText w:val="%8."/>
      <w:lvlJc w:val="left"/>
      <w:pPr>
        <w:tabs>
          <w:tab w:val="left" w:pos="3780"/>
        </w:tabs>
        <w:ind w:left="3820" w:hanging="420"/>
      </w:pPr>
      <w:rPr>
        <w:rFonts w:hint="default"/>
      </w:rPr>
    </w:lvl>
    <w:lvl w:ilvl="8" w:tentative="0">
      <w:start w:val="1"/>
      <w:numFmt w:val="lowerLetter"/>
      <w:lvlText w:val="%9)"/>
      <w:lvlJc w:val="left"/>
      <w:pPr>
        <w:tabs>
          <w:tab w:val="left" w:pos="4200"/>
        </w:tabs>
        <w:ind w:left="4240" w:hanging="420"/>
      </w:pPr>
      <w:rPr>
        <w:rFonts w:hint="default"/>
      </w:rPr>
    </w:lvl>
  </w:abstractNum>
  <w:abstractNum w:abstractNumId="2">
    <w:nsid w:val="4B6CDCFF"/>
    <w:multiLevelType w:val="singleLevel"/>
    <w:tmpl w:val="4B6CDCFF"/>
    <w:lvl w:ilvl="0" w:tentative="0">
      <w:start w:val="1"/>
      <w:numFmt w:val="decimal"/>
      <w:pStyle w:val="92"/>
      <w:suff w:val="nothing"/>
      <w:lvlText w:val="%1."/>
      <w:lvlJc w:val="left"/>
      <w:pPr>
        <w:ind w:left="0" w:firstLine="0"/>
      </w:pPr>
      <w:rPr>
        <w:rFonts w:hint="eastAsia"/>
      </w:rPr>
    </w:lvl>
  </w:abstractNum>
  <w:abstractNum w:abstractNumId="3">
    <w:nsid w:val="595E562B"/>
    <w:multiLevelType w:val="singleLevel"/>
    <w:tmpl w:val="595E562B"/>
    <w:lvl w:ilvl="0" w:tentative="0">
      <w:start w:val="1"/>
      <w:numFmt w:val="decimalEnclosedCircleChinese"/>
      <w:pStyle w:val="100"/>
      <w:suff w:val="nothing"/>
      <w:lvlText w:val="%1"/>
      <w:lvlJc w:val="left"/>
      <w:pPr>
        <w:tabs>
          <w:tab w:val="left" w:pos="-29"/>
        </w:tabs>
        <w:ind w:left="-29" w:firstLine="454"/>
      </w:pPr>
      <w:rPr>
        <w:rFonts w:hint="eastAsia" w:ascii="宋体" w:hAnsi="宋体" w:eastAsia="宋体" w:cs="宋体"/>
        <w:lang w:val="en-US"/>
      </w:rPr>
    </w:lvl>
  </w:abstractNum>
  <w:num w:numId="1">
    <w:abstractNumId w:val="0"/>
  </w:num>
  <w:num w:numId="2">
    <w:abstractNumId w:val="2"/>
  </w:num>
  <w:num w:numId="3">
    <w:abstractNumId w:val="1"/>
  </w:num>
  <w:num w:numId="4">
    <w:abstractNumId w:val="3"/>
  </w:num>
  <w:num w:numId="5">
    <w:abstractNumId w:val="2"/>
    <w:lvlOverride w:ilvl="0">
      <w:startOverride w:val="1"/>
    </w:lvlOverride>
  </w:num>
  <w:num w:numId="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
    <w:lvlOverride w:ilvl="0">
      <w:startOverride w:val="1"/>
    </w:lvlOverride>
  </w:num>
  <w:num w:numId="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
    <w:lvlOverride w:ilvl="0">
      <w:startOverride w:val="1"/>
    </w:lvlOverride>
  </w:num>
  <w:num w:numId="1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
    <w:lvlOverride w:ilvl="0">
      <w:startOverride w:val="1"/>
    </w:lvlOverride>
  </w:num>
  <w:num w:numId="12">
    <w:abstractNumId w:val="2"/>
    <w:lvlOverride w:ilvl="0">
      <w:startOverride w:val="1"/>
    </w:lvlOverride>
  </w:num>
  <w:num w:numId="13">
    <w:abstractNumId w:val="2"/>
    <w:lvlOverride w:ilvl="0">
      <w:startOverride w:val="1"/>
    </w:lvlOverride>
  </w:num>
  <w:num w:numId="14">
    <w:abstractNumId w:val="2"/>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false"/>
  <w:bordersDoNotSurroundFooter w:val="false"/>
  <w:documentProtection w:enforcement="0"/>
  <w:defaultTabStop w:val="420"/>
  <w:drawingGridHorizontalSpacing w:val="105"/>
  <w:drawingGridVerticalSpacing w:val="156"/>
  <w:displayHorizontalDrawingGridEvery w:val="1"/>
  <w:displayVerticalDrawingGridEvery w:val="1"/>
  <w:noPunctuationKerning w:val="true"/>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GFjMjJjZDMzMzAyMDI5OTBmMmVkOTYwOTk1NWIyYzIifQ=="/>
  </w:docVars>
  <w:rsids>
    <w:rsidRoot w:val="00B538BE"/>
    <w:rsid w:val="00000452"/>
    <w:rsid w:val="00003228"/>
    <w:rsid w:val="00003DFD"/>
    <w:rsid w:val="00004B95"/>
    <w:rsid w:val="00011177"/>
    <w:rsid w:val="00011CAA"/>
    <w:rsid w:val="000147E3"/>
    <w:rsid w:val="00023BB5"/>
    <w:rsid w:val="00024180"/>
    <w:rsid w:val="00027468"/>
    <w:rsid w:val="00030F35"/>
    <w:rsid w:val="00030FBF"/>
    <w:rsid w:val="0003376A"/>
    <w:rsid w:val="0003436F"/>
    <w:rsid w:val="00034DC9"/>
    <w:rsid w:val="0003577C"/>
    <w:rsid w:val="00035937"/>
    <w:rsid w:val="00042781"/>
    <w:rsid w:val="00051E6B"/>
    <w:rsid w:val="000552B7"/>
    <w:rsid w:val="0006061F"/>
    <w:rsid w:val="0006435B"/>
    <w:rsid w:val="00066A9B"/>
    <w:rsid w:val="0006744A"/>
    <w:rsid w:val="00076B1E"/>
    <w:rsid w:val="00077690"/>
    <w:rsid w:val="00095ACA"/>
    <w:rsid w:val="000A05D4"/>
    <w:rsid w:val="000A2B0F"/>
    <w:rsid w:val="000A3C4F"/>
    <w:rsid w:val="000A5AFC"/>
    <w:rsid w:val="000A5BE4"/>
    <w:rsid w:val="000B0040"/>
    <w:rsid w:val="000B66D6"/>
    <w:rsid w:val="000C4560"/>
    <w:rsid w:val="000D0021"/>
    <w:rsid w:val="000D11D7"/>
    <w:rsid w:val="000D1A69"/>
    <w:rsid w:val="000D2184"/>
    <w:rsid w:val="000D6534"/>
    <w:rsid w:val="000E0B0F"/>
    <w:rsid w:val="000E151D"/>
    <w:rsid w:val="000E1841"/>
    <w:rsid w:val="000E3CF1"/>
    <w:rsid w:val="000E6F60"/>
    <w:rsid w:val="000F0789"/>
    <w:rsid w:val="001005E3"/>
    <w:rsid w:val="00100603"/>
    <w:rsid w:val="00103AA3"/>
    <w:rsid w:val="00104D33"/>
    <w:rsid w:val="00106802"/>
    <w:rsid w:val="00110B3B"/>
    <w:rsid w:val="00110BF4"/>
    <w:rsid w:val="001142B9"/>
    <w:rsid w:val="0012084A"/>
    <w:rsid w:val="00120A4D"/>
    <w:rsid w:val="00121D13"/>
    <w:rsid w:val="00124144"/>
    <w:rsid w:val="0012538B"/>
    <w:rsid w:val="00125DA4"/>
    <w:rsid w:val="00133BC0"/>
    <w:rsid w:val="001411B7"/>
    <w:rsid w:val="00141E18"/>
    <w:rsid w:val="00141F60"/>
    <w:rsid w:val="0014226A"/>
    <w:rsid w:val="0014333E"/>
    <w:rsid w:val="00147E01"/>
    <w:rsid w:val="00154852"/>
    <w:rsid w:val="00155021"/>
    <w:rsid w:val="00155E5F"/>
    <w:rsid w:val="00156968"/>
    <w:rsid w:val="0016426D"/>
    <w:rsid w:val="00166A87"/>
    <w:rsid w:val="0017018A"/>
    <w:rsid w:val="001745BE"/>
    <w:rsid w:val="00185144"/>
    <w:rsid w:val="001926A9"/>
    <w:rsid w:val="001A2395"/>
    <w:rsid w:val="001A3A82"/>
    <w:rsid w:val="001A7E91"/>
    <w:rsid w:val="001B69B6"/>
    <w:rsid w:val="001C1613"/>
    <w:rsid w:val="001C3F48"/>
    <w:rsid w:val="001C4876"/>
    <w:rsid w:val="001C6FB5"/>
    <w:rsid w:val="001D1CF7"/>
    <w:rsid w:val="001D533D"/>
    <w:rsid w:val="001D606F"/>
    <w:rsid w:val="001D681C"/>
    <w:rsid w:val="001D7089"/>
    <w:rsid w:val="001D7E7F"/>
    <w:rsid w:val="001E3B31"/>
    <w:rsid w:val="001E41B3"/>
    <w:rsid w:val="001F143B"/>
    <w:rsid w:val="001F2609"/>
    <w:rsid w:val="001F2AE1"/>
    <w:rsid w:val="001F60BB"/>
    <w:rsid w:val="00212A7A"/>
    <w:rsid w:val="00221089"/>
    <w:rsid w:val="002222A1"/>
    <w:rsid w:val="002238E6"/>
    <w:rsid w:val="00230727"/>
    <w:rsid w:val="002311B1"/>
    <w:rsid w:val="00231F84"/>
    <w:rsid w:val="00241B0C"/>
    <w:rsid w:val="00243B93"/>
    <w:rsid w:val="0025624D"/>
    <w:rsid w:val="00263CAE"/>
    <w:rsid w:val="00266A2A"/>
    <w:rsid w:val="00267F46"/>
    <w:rsid w:val="0027015E"/>
    <w:rsid w:val="00271E83"/>
    <w:rsid w:val="00283603"/>
    <w:rsid w:val="00286AC8"/>
    <w:rsid w:val="0029187B"/>
    <w:rsid w:val="002930A6"/>
    <w:rsid w:val="00294A90"/>
    <w:rsid w:val="002A040A"/>
    <w:rsid w:val="002A22AA"/>
    <w:rsid w:val="002A3BB3"/>
    <w:rsid w:val="002A4A61"/>
    <w:rsid w:val="002A682C"/>
    <w:rsid w:val="002B1B7D"/>
    <w:rsid w:val="002B37B1"/>
    <w:rsid w:val="002B582A"/>
    <w:rsid w:val="002C4A73"/>
    <w:rsid w:val="002C6FEB"/>
    <w:rsid w:val="002D62C9"/>
    <w:rsid w:val="002D6332"/>
    <w:rsid w:val="002D65B1"/>
    <w:rsid w:val="002E14CA"/>
    <w:rsid w:val="002E2D59"/>
    <w:rsid w:val="002E6158"/>
    <w:rsid w:val="002E6F64"/>
    <w:rsid w:val="002F1463"/>
    <w:rsid w:val="002F30A9"/>
    <w:rsid w:val="00302366"/>
    <w:rsid w:val="00302A2F"/>
    <w:rsid w:val="00310192"/>
    <w:rsid w:val="0031360A"/>
    <w:rsid w:val="0031365B"/>
    <w:rsid w:val="0031452D"/>
    <w:rsid w:val="003173F9"/>
    <w:rsid w:val="0032134E"/>
    <w:rsid w:val="00325746"/>
    <w:rsid w:val="00326456"/>
    <w:rsid w:val="003322EF"/>
    <w:rsid w:val="00335BC7"/>
    <w:rsid w:val="0034076A"/>
    <w:rsid w:val="00340CCE"/>
    <w:rsid w:val="00351863"/>
    <w:rsid w:val="003533D3"/>
    <w:rsid w:val="00364F8A"/>
    <w:rsid w:val="003657A7"/>
    <w:rsid w:val="003667ED"/>
    <w:rsid w:val="003721E5"/>
    <w:rsid w:val="0037535B"/>
    <w:rsid w:val="00382D03"/>
    <w:rsid w:val="003850C0"/>
    <w:rsid w:val="00386FB7"/>
    <w:rsid w:val="00387340"/>
    <w:rsid w:val="00387F15"/>
    <w:rsid w:val="0039186A"/>
    <w:rsid w:val="00391B8F"/>
    <w:rsid w:val="003920A3"/>
    <w:rsid w:val="00393443"/>
    <w:rsid w:val="003935EB"/>
    <w:rsid w:val="003A0A57"/>
    <w:rsid w:val="003A39AE"/>
    <w:rsid w:val="003A514D"/>
    <w:rsid w:val="003A645C"/>
    <w:rsid w:val="003B4089"/>
    <w:rsid w:val="003B4B68"/>
    <w:rsid w:val="003C1298"/>
    <w:rsid w:val="003C6524"/>
    <w:rsid w:val="003D0171"/>
    <w:rsid w:val="003D614B"/>
    <w:rsid w:val="003D636E"/>
    <w:rsid w:val="003E74ED"/>
    <w:rsid w:val="003F14AC"/>
    <w:rsid w:val="003F1EF2"/>
    <w:rsid w:val="003F2D82"/>
    <w:rsid w:val="003F6E1B"/>
    <w:rsid w:val="00402083"/>
    <w:rsid w:val="004030C1"/>
    <w:rsid w:val="00403D81"/>
    <w:rsid w:val="00404FD1"/>
    <w:rsid w:val="00406DCF"/>
    <w:rsid w:val="00414D5C"/>
    <w:rsid w:val="00417D97"/>
    <w:rsid w:val="00422E67"/>
    <w:rsid w:val="00423914"/>
    <w:rsid w:val="00431F8B"/>
    <w:rsid w:val="0043371D"/>
    <w:rsid w:val="004408D0"/>
    <w:rsid w:val="0044095D"/>
    <w:rsid w:val="004413DC"/>
    <w:rsid w:val="00441845"/>
    <w:rsid w:val="00442102"/>
    <w:rsid w:val="00446E6C"/>
    <w:rsid w:val="004472CF"/>
    <w:rsid w:val="004505B5"/>
    <w:rsid w:val="004620BB"/>
    <w:rsid w:val="004625BC"/>
    <w:rsid w:val="00463E29"/>
    <w:rsid w:val="00472897"/>
    <w:rsid w:val="0048751D"/>
    <w:rsid w:val="004906C9"/>
    <w:rsid w:val="00494345"/>
    <w:rsid w:val="00494DAF"/>
    <w:rsid w:val="0049546E"/>
    <w:rsid w:val="00496895"/>
    <w:rsid w:val="004975DB"/>
    <w:rsid w:val="004A1501"/>
    <w:rsid w:val="004A1601"/>
    <w:rsid w:val="004A1D06"/>
    <w:rsid w:val="004A564E"/>
    <w:rsid w:val="004A5917"/>
    <w:rsid w:val="004B38F1"/>
    <w:rsid w:val="004B6FB3"/>
    <w:rsid w:val="004B7433"/>
    <w:rsid w:val="004B77AA"/>
    <w:rsid w:val="004C08DA"/>
    <w:rsid w:val="004C0B3B"/>
    <w:rsid w:val="004C0D56"/>
    <w:rsid w:val="004C2961"/>
    <w:rsid w:val="004D24E0"/>
    <w:rsid w:val="004D34C6"/>
    <w:rsid w:val="004E05BA"/>
    <w:rsid w:val="004E3F61"/>
    <w:rsid w:val="004E6BC3"/>
    <w:rsid w:val="004E6DA5"/>
    <w:rsid w:val="004F03E7"/>
    <w:rsid w:val="004F2808"/>
    <w:rsid w:val="004F31F1"/>
    <w:rsid w:val="004F5FF6"/>
    <w:rsid w:val="0050389D"/>
    <w:rsid w:val="00506DAF"/>
    <w:rsid w:val="00507545"/>
    <w:rsid w:val="0051042E"/>
    <w:rsid w:val="00511FF8"/>
    <w:rsid w:val="00516F19"/>
    <w:rsid w:val="00521BFF"/>
    <w:rsid w:val="00523C53"/>
    <w:rsid w:val="00523C5F"/>
    <w:rsid w:val="00524E37"/>
    <w:rsid w:val="00526BBD"/>
    <w:rsid w:val="00526EFB"/>
    <w:rsid w:val="00527F8D"/>
    <w:rsid w:val="0053280B"/>
    <w:rsid w:val="005369E1"/>
    <w:rsid w:val="00544610"/>
    <w:rsid w:val="005471ED"/>
    <w:rsid w:val="0055392A"/>
    <w:rsid w:val="005563B4"/>
    <w:rsid w:val="0055731D"/>
    <w:rsid w:val="0056289E"/>
    <w:rsid w:val="00563125"/>
    <w:rsid w:val="0056417D"/>
    <w:rsid w:val="0056678E"/>
    <w:rsid w:val="00566F14"/>
    <w:rsid w:val="00567033"/>
    <w:rsid w:val="00567B7C"/>
    <w:rsid w:val="00571A6C"/>
    <w:rsid w:val="005726A2"/>
    <w:rsid w:val="00573E11"/>
    <w:rsid w:val="00574857"/>
    <w:rsid w:val="00576117"/>
    <w:rsid w:val="00576692"/>
    <w:rsid w:val="00580625"/>
    <w:rsid w:val="00582D55"/>
    <w:rsid w:val="00584436"/>
    <w:rsid w:val="00592A1B"/>
    <w:rsid w:val="005934FC"/>
    <w:rsid w:val="00594610"/>
    <w:rsid w:val="00595C3B"/>
    <w:rsid w:val="00596DAD"/>
    <w:rsid w:val="005A003C"/>
    <w:rsid w:val="005A150C"/>
    <w:rsid w:val="005A38AA"/>
    <w:rsid w:val="005A7071"/>
    <w:rsid w:val="005B112C"/>
    <w:rsid w:val="005B1A4F"/>
    <w:rsid w:val="005B2E7C"/>
    <w:rsid w:val="005B5207"/>
    <w:rsid w:val="005B5F0C"/>
    <w:rsid w:val="005C01D2"/>
    <w:rsid w:val="005C0804"/>
    <w:rsid w:val="005C0BD3"/>
    <w:rsid w:val="005C59CC"/>
    <w:rsid w:val="005C6825"/>
    <w:rsid w:val="005C7E41"/>
    <w:rsid w:val="005D0A97"/>
    <w:rsid w:val="005D0C61"/>
    <w:rsid w:val="005D0EEC"/>
    <w:rsid w:val="005D65D4"/>
    <w:rsid w:val="005E04A6"/>
    <w:rsid w:val="005E06B2"/>
    <w:rsid w:val="005E0E76"/>
    <w:rsid w:val="005E4937"/>
    <w:rsid w:val="005E5DF8"/>
    <w:rsid w:val="005E6B42"/>
    <w:rsid w:val="005F35E1"/>
    <w:rsid w:val="005F5B4E"/>
    <w:rsid w:val="005F7C0B"/>
    <w:rsid w:val="005F7FDE"/>
    <w:rsid w:val="00600D47"/>
    <w:rsid w:val="00603962"/>
    <w:rsid w:val="00614712"/>
    <w:rsid w:val="006154B9"/>
    <w:rsid w:val="0061578B"/>
    <w:rsid w:val="00615EC8"/>
    <w:rsid w:val="006174FE"/>
    <w:rsid w:val="00627AFE"/>
    <w:rsid w:val="00630009"/>
    <w:rsid w:val="00635D99"/>
    <w:rsid w:val="00636A91"/>
    <w:rsid w:val="00636D45"/>
    <w:rsid w:val="00637872"/>
    <w:rsid w:val="006400F1"/>
    <w:rsid w:val="00642DE4"/>
    <w:rsid w:val="00643FC4"/>
    <w:rsid w:val="006444C2"/>
    <w:rsid w:val="00646791"/>
    <w:rsid w:val="0065031A"/>
    <w:rsid w:val="00651370"/>
    <w:rsid w:val="00660000"/>
    <w:rsid w:val="006657E4"/>
    <w:rsid w:val="0066664D"/>
    <w:rsid w:val="0067033F"/>
    <w:rsid w:val="00670E77"/>
    <w:rsid w:val="0067135D"/>
    <w:rsid w:val="006730F2"/>
    <w:rsid w:val="00673325"/>
    <w:rsid w:val="00674450"/>
    <w:rsid w:val="0068437B"/>
    <w:rsid w:val="00684CDE"/>
    <w:rsid w:val="00686A13"/>
    <w:rsid w:val="00687AF7"/>
    <w:rsid w:val="0069093E"/>
    <w:rsid w:val="006A0F99"/>
    <w:rsid w:val="006A5C73"/>
    <w:rsid w:val="006A79C2"/>
    <w:rsid w:val="006B7730"/>
    <w:rsid w:val="006B7813"/>
    <w:rsid w:val="006B7CBA"/>
    <w:rsid w:val="006C121F"/>
    <w:rsid w:val="006C3B76"/>
    <w:rsid w:val="006C708E"/>
    <w:rsid w:val="006D0F4D"/>
    <w:rsid w:val="006D4327"/>
    <w:rsid w:val="006D5635"/>
    <w:rsid w:val="006D79A6"/>
    <w:rsid w:val="006E52A1"/>
    <w:rsid w:val="006E682E"/>
    <w:rsid w:val="006F763F"/>
    <w:rsid w:val="00702B21"/>
    <w:rsid w:val="0070302E"/>
    <w:rsid w:val="00703503"/>
    <w:rsid w:val="00707354"/>
    <w:rsid w:val="00720A4F"/>
    <w:rsid w:val="00721681"/>
    <w:rsid w:val="00722E59"/>
    <w:rsid w:val="0072311C"/>
    <w:rsid w:val="0072603D"/>
    <w:rsid w:val="00727457"/>
    <w:rsid w:val="00731E26"/>
    <w:rsid w:val="007335D9"/>
    <w:rsid w:val="007340AA"/>
    <w:rsid w:val="007368AC"/>
    <w:rsid w:val="00741ED5"/>
    <w:rsid w:val="007439A6"/>
    <w:rsid w:val="007517A7"/>
    <w:rsid w:val="0075272A"/>
    <w:rsid w:val="007560E5"/>
    <w:rsid w:val="007566A5"/>
    <w:rsid w:val="0075708C"/>
    <w:rsid w:val="007638AA"/>
    <w:rsid w:val="007644E3"/>
    <w:rsid w:val="00771000"/>
    <w:rsid w:val="00772465"/>
    <w:rsid w:val="007770BB"/>
    <w:rsid w:val="00780E77"/>
    <w:rsid w:val="00781F89"/>
    <w:rsid w:val="00782758"/>
    <w:rsid w:val="007906FD"/>
    <w:rsid w:val="007914EA"/>
    <w:rsid w:val="00791F21"/>
    <w:rsid w:val="007A5A76"/>
    <w:rsid w:val="007B0084"/>
    <w:rsid w:val="007B0A9A"/>
    <w:rsid w:val="007B1EF3"/>
    <w:rsid w:val="007B24DC"/>
    <w:rsid w:val="007C5892"/>
    <w:rsid w:val="007C66AF"/>
    <w:rsid w:val="007C713D"/>
    <w:rsid w:val="007D01F3"/>
    <w:rsid w:val="007D4BA2"/>
    <w:rsid w:val="007D55EE"/>
    <w:rsid w:val="007E0010"/>
    <w:rsid w:val="007E194C"/>
    <w:rsid w:val="007E3118"/>
    <w:rsid w:val="007E3153"/>
    <w:rsid w:val="007E78B8"/>
    <w:rsid w:val="007F767E"/>
    <w:rsid w:val="00801A7E"/>
    <w:rsid w:val="008031FF"/>
    <w:rsid w:val="008101AD"/>
    <w:rsid w:val="008228CB"/>
    <w:rsid w:val="008228CC"/>
    <w:rsid w:val="00824C40"/>
    <w:rsid w:val="00830E31"/>
    <w:rsid w:val="00842DC3"/>
    <w:rsid w:val="00842DFF"/>
    <w:rsid w:val="00846EBF"/>
    <w:rsid w:val="008543DE"/>
    <w:rsid w:val="008547C8"/>
    <w:rsid w:val="008610E5"/>
    <w:rsid w:val="008665C3"/>
    <w:rsid w:val="008716A2"/>
    <w:rsid w:val="00872C89"/>
    <w:rsid w:val="00881D56"/>
    <w:rsid w:val="00887BFE"/>
    <w:rsid w:val="00894293"/>
    <w:rsid w:val="00897AAD"/>
    <w:rsid w:val="008A2A25"/>
    <w:rsid w:val="008A7291"/>
    <w:rsid w:val="008A74AE"/>
    <w:rsid w:val="008B0D28"/>
    <w:rsid w:val="008B4BB4"/>
    <w:rsid w:val="008C18FD"/>
    <w:rsid w:val="008C4E79"/>
    <w:rsid w:val="008D6DBE"/>
    <w:rsid w:val="008E14F3"/>
    <w:rsid w:val="008E1F6D"/>
    <w:rsid w:val="008E3CFE"/>
    <w:rsid w:val="008E457B"/>
    <w:rsid w:val="008E577B"/>
    <w:rsid w:val="008E7BE0"/>
    <w:rsid w:val="008F33A1"/>
    <w:rsid w:val="008F6305"/>
    <w:rsid w:val="009022DB"/>
    <w:rsid w:val="00906A9B"/>
    <w:rsid w:val="009113AE"/>
    <w:rsid w:val="009116B9"/>
    <w:rsid w:val="0091385A"/>
    <w:rsid w:val="00914DD6"/>
    <w:rsid w:val="0092634B"/>
    <w:rsid w:val="00926947"/>
    <w:rsid w:val="00927417"/>
    <w:rsid w:val="0093060E"/>
    <w:rsid w:val="00932978"/>
    <w:rsid w:val="0093316E"/>
    <w:rsid w:val="00934ECB"/>
    <w:rsid w:val="00936909"/>
    <w:rsid w:val="00937046"/>
    <w:rsid w:val="00943758"/>
    <w:rsid w:val="0094494E"/>
    <w:rsid w:val="00945B03"/>
    <w:rsid w:val="009474F0"/>
    <w:rsid w:val="00947B6F"/>
    <w:rsid w:val="009520C2"/>
    <w:rsid w:val="0096266D"/>
    <w:rsid w:val="00966E17"/>
    <w:rsid w:val="0096740F"/>
    <w:rsid w:val="009725C6"/>
    <w:rsid w:val="009731F2"/>
    <w:rsid w:val="00982B1B"/>
    <w:rsid w:val="00983C5D"/>
    <w:rsid w:val="00984626"/>
    <w:rsid w:val="009A0844"/>
    <w:rsid w:val="009A1B4E"/>
    <w:rsid w:val="009A232A"/>
    <w:rsid w:val="009A3715"/>
    <w:rsid w:val="009A3EDD"/>
    <w:rsid w:val="009B6CB1"/>
    <w:rsid w:val="009B7279"/>
    <w:rsid w:val="009C3482"/>
    <w:rsid w:val="009E44EB"/>
    <w:rsid w:val="009F4C02"/>
    <w:rsid w:val="009F4C8B"/>
    <w:rsid w:val="00A0045C"/>
    <w:rsid w:val="00A1081B"/>
    <w:rsid w:val="00A11533"/>
    <w:rsid w:val="00A34538"/>
    <w:rsid w:val="00A34C4E"/>
    <w:rsid w:val="00A40278"/>
    <w:rsid w:val="00A4077D"/>
    <w:rsid w:val="00A419EA"/>
    <w:rsid w:val="00A45342"/>
    <w:rsid w:val="00A519D0"/>
    <w:rsid w:val="00A51DB9"/>
    <w:rsid w:val="00A678A6"/>
    <w:rsid w:val="00A70163"/>
    <w:rsid w:val="00A7225F"/>
    <w:rsid w:val="00A724F4"/>
    <w:rsid w:val="00A72871"/>
    <w:rsid w:val="00A776CA"/>
    <w:rsid w:val="00A81BA2"/>
    <w:rsid w:val="00A81EC8"/>
    <w:rsid w:val="00A848E1"/>
    <w:rsid w:val="00A857F6"/>
    <w:rsid w:val="00A87DB1"/>
    <w:rsid w:val="00A9186B"/>
    <w:rsid w:val="00A92031"/>
    <w:rsid w:val="00A92AF2"/>
    <w:rsid w:val="00AA4106"/>
    <w:rsid w:val="00AA6283"/>
    <w:rsid w:val="00AB096A"/>
    <w:rsid w:val="00AC0492"/>
    <w:rsid w:val="00AC04CC"/>
    <w:rsid w:val="00AC4937"/>
    <w:rsid w:val="00AD0997"/>
    <w:rsid w:val="00AD0EFF"/>
    <w:rsid w:val="00AE3A32"/>
    <w:rsid w:val="00AE5910"/>
    <w:rsid w:val="00AE659B"/>
    <w:rsid w:val="00AE72BF"/>
    <w:rsid w:val="00AF01FE"/>
    <w:rsid w:val="00AF3AA5"/>
    <w:rsid w:val="00AF3DCE"/>
    <w:rsid w:val="00B045D9"/>
    <w:rsid w:val="00B04CAD"/>
    <w:rsid w:val="00B062EA"/>
    <w:rsid w:val="00B123AC"/>
    <w:rsid w:val="00B316A1"/>
    <w:rsid w:val="00B37D37"/>
    <w:rsid w:val="00B4486C"/>
    <w:rsid w:val="00B46347"/>
    <w:rsid w:val="00B538BE"/>
    <w:rsid w:val="00B5487E"/>
    <w:rsid w:val="00B56177"/>
    <w:rsid w:val="00B56352"/>
    <w:rsid w:val="00B61CF6"/>
    <w:rsid w:val="00B62CEF"/>
    <w:rsid w:val="00B71508"/>
    <w:rsid w:val="00B767FF"/>
    <w:rsid w:val="00B840BA"/>
    <w:rsid w:val="00B86BFF"/>
    <w:rsid w:val="00B87544"/>
    <w:rsid w:val="00B907B4"/>
    <w:rsid w:val="00B90A9D"/>
    <w:rsid w:val="00B939FF"/>
    <w:rsid w:val="00BA23FA"/>
    <w:rsid w:val="00BA2BD3"/>
    <w:rsid w:val="00BA6278"/>
    <w:rsid w:val="00BB1E58"/>
    <w:rsid w:val="00BB2A7D"/>
    <w:rsid w:val="00BB6F11"/>
    <w:rsid w:val="00BB75E8"/>
    <w:rsid w:val="00BB7978"/>
    <w:rsid w:val="00BC3309"/>
    <w:rsid w:val="00BC38CE"/>
    <w:rsid w:val="00BC4343"/>
    <w:rsid w:val="00BC4541"/>
    <w:rsid w:val="00BC5F90"/>
    <w:rsid w:val="00BD0C62"/>
    <w:rsid w:val="00BD34BF"/>
    <w:rsid w:val="00BD4FBE"/>
    <w:rsid w:val="00BE0441"/>
    <w:rsid w:val="00BE181B"/>
    <w:rsid w:val="00BE6458"/>
    <w:rsid w:val="00BE79BB"/>
    <w:rsid w:val="00BF0687"/>
    <w:rsid w:val="00BF2C6D"/>
    <w:rsid w:val="00BF314A"/>
    <w:rsid w:val="00BF7BC1"/>
    <w:rsid w:val="00C02B2C"/>
    <w:rsid w:val="00C03018"/>
    <w:rsid w:val="00C03F2C"/>
    <w:rsid w:val="00C04290"/>
    <w:rsid w:val="00C046C9"/>
    <w:rsid w:val="00C12D1E"/>
    <w:rsid w:val="00C12E15"/>
    <w:rsid w:val="00C13B93"/>
    <w:rsid w:val="00C14CC3"/>
    <w:rsid w:val="00C159A1"/>
    <w:rsid w:val="00C22C18"/>
    <w:rsid w:val="00C2452A"/>
    <w:rsid w:val="00C27315"/>
    <w:rsid w:val="00C307E3"/>
    <w:rsid w:val="00C33F13"/>
    <w:rsid w:val="00C37DBC"/>
    <w:rsid w:val="00C40348"/>
    <w:rsid w:val="00C46E0B"/>
    <w:rsid w:val="00C546C1"/>
    <w:rsid w:val="00C547FE"/>
    <w:rsid w:val="00C57DB6"/>
    <w:rsid w:val="00C6129B"/>
    <w:rsid w:val="00C6397E"/>
    <w:rsid w:val="00C645B2"/>
    <w:rsid w:val="00C6596B"/>
    <w:rsid w:val="00C71AF4"/>
    <w:rsid w:val="00C71EBD"/>
    <w:rsid w:val="00C75FA0"/>
    <w:rsid w:val="00C76693"/>
    <w:rsid w:val="00C84D1D"/>
    <w:rsid w:val="00C87007"/>
    <w:rsid w:val="00C93B13"/>
    <w:rsid w:val="00C94F07"/>
    <w:rsid w:val="00C955F7"/>
    <w:rsid w:val="00C95604"/>
    <w:rsid w:val="00CA0468"/>
    <w:rsid w:val="00CA643C"/>
    <w:rsid w:val="00CB1CB7"/>
    <w:rsid w:val="00CB224F"/>
    <w:rsid w:val="00CB2666"/>
    <w:rsid w:val="00CC0E8D"/>
    <w:rsid w:val="00CC41D7"/>
    <w:rsid w:val="00CC7624"/>
    <w:rsid w:val="00CD2C48"/>
    <w:rsid w:val="00CD2C56"/>
    <w:rsid w:val="00CE0440"/>
    <w:rsid w:val="00CE2420"/>
    <w:rsid w:val="00CE4BFB"/>
    <w:rsid w:val="00CF0730"/>
    <w:rsid w:val="00CF5947"/>
    <w:rsid w:val="00CF5B7F"/>
    <w:rsid w:val="00CF6273"/>
    <w:rsid w:val="00D00D39"/>
    <w:rsid w:val="00D05D67"/>
    <w:rsid w:val="00D072A3"/>
    <w:rsid w:val="00D13327"/>
    <w:rsid w:val="00D15B75"/>
    <w:rsid w:val="00D170FF"/>
    <w:rsid w:val="00D200BE"/>
    <w:rsid w:val="00D2010B"/>
    <w:rsid w:val="00D22B9E"/>
    <w:rsid w:val="00D2375D"/>
    <w:rsid w:val="00D267F7"/>
    <w:rsid w:val="00D27B38"/>
    <w:rsid w:val="00D416A4"/>
    <w:rsid w:val="00D42F9E"/>
    <w:rsid w:val="00D44965"/>
    <w:rsid w:val="00D50F1C"/>
    <w:rsid w:val="00D51680"/>
    <w:rsid w:val="00D52149"/>
    <w:rsid w:val="00D530A5"/>
    <w:rsid w:val="00D55DA8"/>
    <w:rsid w:val="00D61149"/>
    <w:rsid w:val="00D61FCC"/>
    <w:rsid w:val="00D65FA4"/>
    <w:rsid w:val="00D67D82"/>
    <w:rsid w:val="00D70813"/>
    <w:rsid w:val="00D70F66"/>
    <w:rsid w:val="00D73974"/>
    <w:rsid w:val="00D760BF"/>
    <w:rsid w:val="00D76222"/>
    <w:rsid w:val="00D76956"/>
    <w:rsid w:val="00D7713A"/>
    <w:rsid w:val="00D87F99"/>
    <w:rsid w:val="00D92FF2"/>
    <w:rsid w:val="00DA2277"/>
    <w:rsid w:val="00DB124A"/>
    <w:rsid w:val="00DB1A18"/>
    <w:rsid w:val="00DB1F86"/>
    <w:rsid w:val="00DB5057"/>
    <w:rsid w:val="00DB7F85"/>
    <w:rsid w:val="00DC2274"/>
    <w:rsid w:val="00DC57C7"/>
    <w:rsid w:val="00DD00E2"/>
    <w:rsid w:val="00DE34AE"/>
    <w:rsid w:val="00DE3591"/>
    <w:rsid w:val="00DE58C7"/>
    <w:rsid w:val="00DF1A73"/>
    <w:rsid w:val="00DF279C"/>
    <w:rsid w:val="00DF2A25"/>
    <w:rsid w:val="00E0786A"/>
    <w:rsid w:val="00E10067"/>
    <w:rsid w:val="00E1044B"/>
    <w:rsid w:val="00E115C3"/>
    <w:rsid w:val="00E11C09"/>
    <w:rsid w:val="00E2192E"/>
    <w:rsid w:val="00E23FFE"/>
    <w:rsid w:val="00E24188"/>
    <w:rsid w:val="00E31206"/>
    <w:rsid w:val="00E3362C"/>
    <w:rsid w:val="00E33A7E"/>
    <w:rsid w:val="00E44F17"/>
    <w:rsid w:val="00E46017"/>
    <w:rsid w:val="00E46689"/>
    <w:rsid w:val="00E53F41"/>
    <w:rsid w:val="00E55A28"/>
    <w:rsid w:val="00E7495C"/>
    <w:rsid w:val="00E74A92"/>
    <w:rsid w:val="00E74ABA"/>
    <w:rsid w:val="00E82597"/>
    <w:rsid w:val="00E929B0"/>
    <w:rsid w:val="00E938D0"/>
    <w:rsid w:val="00E97591"/>
    <w:rsid w:val="00EA350A"/>
    <w:rsid w:val="00EA41F9"/>
    <w:rsid w:val="00EB1C5F"/>
    <w:rsid w:val="00EB6543"/>
    <w:rsid w:val="00EC3060"/>
    <w:rsid w:val="00EC5FD5"/>
    <w:rsid w:val="00EC64AE"/>
    <w:rsid w:val="00ED3426"/>
    <w:rsid w:val="00ED4DDC"/>
    <w:rsid w:val="00ED5A91"/>
    <w:rsid w:val="00ED7CDC"/>
    <w:rsid w:val="00EE0957"/>
    <w:rsid w:val="00EF4228"/>
    <w:rsid w:val="00EF7A10"/>
    <w:rsid w:val="00F05472"/>
    <w:rsid w:val="00F12971"/>
    <w:rsid w:val="00F15B0F"/>
    <w:rsid w:val="00F15E4F"/>
    <w:rsid w:val="00F176BD"/>
    <w:rsid w:val="00F213AE"/>
    <w:rsid w:val="00F237CC"/>
    <w:rsid w:val="00F23E82"/>
    <w:rsid w:val="00F24DAB"/>
    <w:rsid w:val="00F2562C"/>
    <w:rsid w:val="00F276BE"/>
    <w:rsid w:val="00F311D8"/>
    <w:rsid w:val="00F3361B"/>
    <w:rsid w:val="00F41F81"/>
    <w:rsid w:val="00F42E34"/>
    <w:rsid w:val="00F52EFE"/>
    <w:rsid w:val="00F530B3"/>
    <w:rsid w:val="00F53437"/>
    <w:rsid w:val="00F618B5"/>
    <w:rsid w:val="00F628E4"/>
    <w:rsid w:val="00F64AB2"/>
    <w:rsid w:val="00F71B0E"/>
    <w:rsid w:val="00F76604"/>
    <w:rsid w:val="00F81B28"/>
    <w:rsid w:val="00F823E4"/>
    <w:rsid w:val="00F83108"/>
    <w:rsid w:val="00F83E50"/>
    <w:rsid w:val="00F84EF6"/>
    <w:rsid w:val="00F8541E"/>
    <w:rsid w:val="00F94519"/>
    <w:rsid w:val="00F94F6C"/>
    <w:rsid w:val="00F96029"/>
    <w:rsid w:val="00F96291"/>
    <w:rsid w:val="00FA216A"/>
    <w:rsid w:val="00FA2F82"/>
    <w:rsid w:val="00FB7FD6"/>
    <w:rsid w:val="00FC0948"/>
    <w:rsid w:val="00FC1665"/>
    <w:rsid w:val="00FC33F0"/>
    <w:rsid w:val="00FC5C2C"/>
    <w:rsid w:val="00FC7AE4"/>
    <w:rsid w:val="00FD0AE3"/>
    <w:rsid w:val="00FD0CC4"/>
    <w:rsid w:val="00FD0D5F"/>
    <w:rsid w:val="00FD1274"/>
    <w:rsid w:val="00FD5C8F"/>
    <w:rsid w:val="00FE79A3"/>
    <w:rsid w:val="00FE7A3F"/>
    <w:rsid w:val="01E6437A"/>
    <w:rsid w:val="0952458B"/>
    <w:rsid w:val="0D9A37BC"/>
    <w:rsid w:val="14972390"/>
    <w:rsid w:val="1ABD39A5"/>
    <w:rsid w:val="1ADF238C"/>
    <w:rsid w:val="1BC174D0"/>
    <w:rsid w:val="20753547"/>
    <w:rsid w:val="25EF37E0"/>
    <w:rsid w:val="26F14EEC"/>
    <w:rsid w:val="2A513E78"/>
    <w:rsid w:val="2CAD4098"/>
    <w:rsid w:val="2DC2295A"/>
    <w:rsid w:val="2DD56D6B"/>
    <w:rsid w:val="2E467959"/>
    <w:rsid w:val="2F810ECF"/>
    <w:rsid w:val="308D1A93"/>
    <w:rsid w:val="31B53D1D"/>
    <w:rsid w:val="32786EF6"/>
    <w:rsid w:val="33A616A5"/>
    <w:rsid w:val="33CD1556"/>
    <w:rsid w:val="37205C3B"/>
    <w:rsid w:val="38EE7E47"/>
    <w:rsid w:val="3AFF7499"/>
    <w:rsid w:val="3F0E3630"/>
    <w:rsid w:val="41D41C6F"/>
    <w:rsid w:val="44B27A1C"/>
    <w:rsid w:val="49CA7BE0"/>
    <w:rsid w:val="49F35BBE"/>
    <w:rsid w:val="4A1E7F2C"/>
    <w:rsid w:val="4CB916B2"/>
    <w:rsid w:val="4ED37C80"/>
    <w:rsid w:val="5D6513C2"/>
    <w:rsid w:val="6A7C4108"/>
    <w:rsid w:val="6AE872CC"/>
    <w:rsid w:val="700A66D9"/>
    <w:rsid w:val="7DF729ED"/>
    <w:rsid w:val="7F9340F3"/>
    <w:rsid w:val="BF9EEF8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iPriority="9" w:name="heading 2"/>
    <w:lsdException w:qFormat="1" w:uiPriority="9" w:name="heading 3"/>
    <w:lsdException w:qFormat="1" w:unhideWhenUsed="0" w:uiPriority="0"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name="annotation text"/>
    <w:lsdException w:qFormat="1" w:unhideWhenUsed="0" w:uiPriority="0" w:semiHidden="0" w:name="header"/>
    <w:lsdException w:qFormat="1" w:unhideWhenUsed="0"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nhideWhenUsed="0" w:uiPriority="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uiPriority="99" w:name="List Bullet"/>
    <w:lsdException w:uiPriority="99" w:name="List Number"/>
    <w:lsdException w:qFormat="1"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0"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nhideWhenUsed="0" w:uiPriority="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99" w:semiHidden="0" w:name="Table Grid"/>
    <w:lsdException w:qFormat="1"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31"/>
    <w:qFormat/>
    <w:uiPriority w:val="99"/>
    <w:pPr>
      <w:keepNext/>
      <w:overflowPunct w:val="0"/>
      <w:snapToGrid w:val="0"/>
      <w:spacing w:before="120" w:after="160" w:line="259" w:lineRule="auto"/>
      <w:ind w:left="432" w:hanging="432"/>
      <w:outlineLvl w:val="0"/>
    </w:pPr>
    <w:rPr>
      <w:rFonts w:ascii="Times New Roman" w:hAnsi="Times New Roman" w:eastAsia="黑体" w:cs="Times New Roman"/>
      <w:b/>
      <w:bCs/>
      <w:color w:val="000000"/>
      <w:kern w:val="44"/>
      <w:sz w:val="30"/>
      <w:szCs w:val="30"/>
    </w:rPr>
  </w:style>
  <w:style w:type="paragraph" w:styleId="3">
    <w:name w:val="heading 3"/>
    <w:basedOn w:val="1"/>
    <w:next w:val="1"/>
    <w:link w:val="120"/>
    <w:semiHidden/>
    <w:unhideWhenUsed/>
    <w:qFormat/>
    <w:uiPriority w:val="9"/>
    <w:pPr>
      <w:keepNext/>
      <w:keepLines/>
      <w:spacing w:before="260" w:after="260" w:line="416" w:lineRule="auto"/>
      <w:outlineLvl w:val="2"/>
    </w:pPr>
    <w:rPr>
      <w:b/>
      <w:bCs/>
      <w:sz w:val="32"/>
      <w:szCs w:val="32"/>
    </w:rPr>
  </w:style>
  <w:style w:type="paragraph" w:styleId="4">
    <w:name w:val="heading 4"/>
    <w:basedOn w:val="1"/>
    <w:next w:val="5"/>
    <w:link w:val="32"/>
    <w:qFormat/>
    <w:uiPriority w:val="0"/>
    <w:pPr>
      <w:keepNext/>
      <w:keepLines/>
      <w:spacing w:before="280" w:after="290" w:line="376" w:lineRule="auto"/>
      <w:outlineLvl w:val="3"/>
    </w:pPr>
    <w:rPr>
      <w:rFonts w:ascii="Arial" w:hAnsi="Arial" w:eastAsia="黑体" w:cs="Times New Roman"/>
      <w:b/>
      <w:bCs/>
      <w:sz w:val="28"/>
      <w:szCs w:val="28"/>
    </w:rPr>
  </w:style>
  <w:style w:type="character" w:default="1" w:styleId="26">
    <w:name w:val="Default Paragraph Font"/>
    <w:semiHidden/>
    <w:unhideWhenUsed/>
    <w:qFormat/>
    <w:uiPriority w:val="1"/>
  </w:style>
  <w:style w:type="table" w:default="1" w:styleId="23">
    <w:name w:val="Normal Table"/>
    <w:semiHidden/>
    <w:unhideWhenUsed/>
    <w:qFormat/>
    <w:uiPriority w:val="99"/>
    <w:tblPr>
      <w:tblCellMar>
        <w:top w:w="0" w:type="dxa"/>
        <w:left w:w="108" w:type="dxa"/>
        <w:bottom w:w="0" w:type="dxa"/>
        <w:right w:w="108" w:type="dxa"/>
      </w:tblCellMar>
    </w:tblPr>
  </w:style>
  <w:style w:type="paragraph" w:styleId="5">
    <w:name w:val="Normal Indent"/>
    <w:basedOn w:val="1"/>
    <w:next w:val="4"/>
    <w:qFormat/>
    <w:uiPriority w:val="0"/>
    <w:pPr>
      <w:ind w:firstLine="420"/>
    </w:pPr>
    <w:rPr>
      <w:rFonts w:ascii="Calibri" w:hAnsi="Calibri" w:eastAsia="宋体" w:cs="Times New Roman"/>
      <w:szCs w:val="20"/>
    </w:rPr>
  </w:style>
  <w:style w:type="paragraph" w:styleId="6">
    <w:name w:val="annotation text"/>
    <w:basedOn w:val="1"/>
    <w:link w:val="34"/>
    <w:semiHidden/>
    <w:qFormat/>
    <w:uiPriority w:val="0"/>
    <w:pPr>
      <w:jc w:val="left"/>
    </w:pPr>
    <w:rPr>
      <w:rFonts w:ascii="Times New Roman" w:hAnsi="Times New Roman" w:eastAsia="宋体" w:cs="Times New Roman"/>
      <w:kern w:val="0"/>
      <w:sz w:val="24"/>
      <w:szCs w:val="20"/>
    </w:rPr>
  </w:style>
  <w:style w:type="paragraph" w:styleId="7">
    <w:name w:val="Body Text"/>
    <w:basedOn w:val="1"/>
    <w:next w:val="1"/>
    <w:link w:val="33"/>
    <w:qFormat/>
    <w:uiPriority w:val="0"/>
    <w:pPr>
      <w:widowControl/>
      <w:snapToGrid w:val="0"/>
      <w:spacing w:before="60" w:after="160" w:line="259" w:lineRule="auto"/>
      <w:ind w:right="113"/>
    </w:pPr>
    <w:rPr>
      <w:rFonts w:ascii="Times New Roman" w:hAnsi="Times New Roman" w:eastAsia="宋体" w:cs="Times New Roman"/>
      <w:kern w:val="0"/>
      <w:sz w:val="18"/>
      <w:szCs w:val="20"/>
    </w:rPr>
  </w:style>
  <w:style w:type="paragraph" w:styleId="8">
    <w:name w:val="Body Text Indent"/>
    <w:basedOn w:val="1"/>
    <w:next w:val="9"/>
    <w:link w:val="35"/>
    <w:qFormat/>
    <w:uiPriority w:val="99"/>
    <w:pPr>
      <w:spacing w:after="120"/>
      <w:ind w:left="420" w:leftChars="200"/>
    </w:pPr>
    <w:rPr>
      <w:rFonts w:ascii="Times New Roman" w:hAnsi="Times New Roman" w:eastAsia="宋体" w:cs="Times New Roman"/>
      <w:kern w:val="0"/>
      <w:sz w:val="24"/>
      <w:szCs w:val="20"/>
    </w:rPr>
  </w:style>
  <w:style w:type="paragraph" w:styleId="9">
    <w:name w:val="Body Text First Indent 2"/>
    <w:basedOn w:val="8"/>
    <w:next w:val="1"/>
    <w:link w:val="36"/>
    <w:qFormat/>
    <w:uiPriority w:val="0"/>
    <w:pPr>
      <w:spacing w:line="360" w:lineRule="auto"/>
      <w:ind w:left="0" w:leftChars="0" w:firstLine="420"/>
    </w:pPr>
  </w:style>
  <w:style w:type="paragraph" w:styleId="10">
    <w:name w:val="List 2"/>
    <w:basedOn w:val="1"/>
    <w:semiHidden/>
    <w:unhideWhenUsed/>
    <w:qFormat/>
    <w:uiPriority w:val="99"/>
    <w:pPr>
      <w:ind w:left="100" w:leftChars="200" w:hanging="200" w:hangingChars="200"/>
      <w:contextualSpacing/>
    </w:pPr>
  </w:style>
  <w:style w:type="paragraph" w:styleId="11">
    <w:name w:val="Plain Text"/>
    <w:basedOn w:val="1"/>
    <w:link w:val="37"/>
    <w:qFormat/>
    <w:uiPriority w:val="0"/>
    <w:rPr>
      <w:rFonts w:ascii="宋体" w:hAnsi="Courier New" w:eastAsia="宋体" w:cs="Courier New"/>
      <w:szCs w:val="21"/>
    </w:rPr>
  </w:style>
  <w:style w:type="paragraph" w:styleId="12">
    <w:name w:val="Date"/>
    <w:basedOn w:val="1"/>
    <w:next w:val="1"/>
    <w:link w:val="39"/>
    <w:qFormat/>
    <w:uiPriority w:val="0"/>
    <w:pPr>
      <w:ind w:left="100" w:leftChars="2500"/>
    </w:pPr>
    <w:rPr>
      <w:rFonts w:ascii="Times New Roman" w:hAnsi="Times New Roman" w:eastAsia="宋体" w:cs="Times New Roman"/>
      <w:kern w:val="0"/>
      <w:sz w:val="24"/>
      <w:szCs w:val="20"/>
    </w:rPr>
  </w:style>
  <w:style w:type="paragraph" w:styleId="13">
    <w:name w:val="Balloon Text"/>
    <w:basedOn w:val="1"/>
    <w:link w:val="40"/>
    <w:semiHidden/>
    <w:qFormat/>
    <w:uiPriority w:val="0"/>
    <w:rPr>
      <w:rFonts w:ascii="Times New Roman" w:hAnsi="Times New Roman" w:eastAsia="宋体" w:cs="Times New Roman"/>
      <w:kern w:val="0"/>
      <w:sz w:val="18"/>
      <w:szCs w:val="20"/>
    </w:rPr>
  </w:style>
  <w:style w:type="paragraph" w:styleId="14">
    <w:name w:val="footer"/>
    <w:basedOn w:val="1"/>
    <w:link w:val="42"/>
    <w:qFormat/>
    <w:uiPriority w:val="99"/>
    <w:pPr>
      <w:tabs>
        <w:tab w:val="center" w:pos="4153"/>
        <w:tab w:val="right" w:pos="8306"/>
      </w:tabs>
      <w:snapToGrid w:val="0"/>
      <w:jc w:val="left"/>
    </w:pPr>
    <w:rPr>
      <w:rFonts w:ascii="Times New Roman" w:hAnsi="Times New Roman" w:eastAsia="宋体" w:cs="Times New Roman"/>
      <w:kern w:val="0"/>
      <w:sz w:val="18"/>
      <w:szCs w:val="20"/>
    </w:rPr>
  </w:style>
  <w:style w:type="paragraph" w:styleId="15">
    <w:name w:val="header"/>
    <w:basedOn w:val="1"/>
    <w:link w:val="43"/>
    <w:qFormat/>
    <w:uiPriority w:val="0"/>
    <w:pPr>
      <w:pBdr>
        <w:bottom w:val="single" w:color="auto" w:sz="6" w:space="1"/>
      </w:pBdr>
      <w:tabs>
        <w:tab w:val="center" w:pos="4153"/>
        <w:tab w:val="right" w:pos="8306"/>
      </w:tabs>
      <w:snapToGrid w:val="0"/>
      <w:jc w:val="center"/>
    </w:pPr>
    <w:rPr>
      <w:rFonts w:ascii="Times New Roman" w:hAnsi="Times New Roman" w:eastAsia="宋体" w:cs="Times New Roman"/>
      <w:kern w:val="0"/>
      <w:sz w:val="18"/>
      <w:szCs w:val="20"/>
    </w:rPr>
  </w:style>
  <w:style w:type="paragraph" w:styleId="16">
    <w:name w:val="toc 1"/>
    <w:basedOn w:val="1"/>
    <w:next w:val="1"/>
    <w:qFormat/>
    <w:uiPriority w:val="39"/>
    <w:rPr>
      <w:rFonts w:ascii="Times New Roman" w:hAnsi="Times New Roman" w:eastAsia="宋体" w:cs="Times New Roman"/>
      <w:szCs w:val="24"/>
    </w:rPr>
  </w:style>
  <w:style w:type="paragraph" w:styleId="17">
    <w:name w:val="Subtitle"/>
    <w:basedOn w:val="11"/>
    <w:next w:val="11"/>
    <w:link w:val="44"/>
    <w:qFormat/>
    <w:uiPriority w:val="11"/>
    <w:pPr>
      <w:widowControl/>
      <w:jc w:val="center"/>
    </w:pPr>
    <w:rPr>
      <w:rFonts w:ascii="Times New Roman" w:hAnsi="Times New Roman"/>
      <w:bCs/>
      <w:kern w:val="28"/>
      <w:szCs w:val="32"/>
    </w:rPr>
  </w:style>
  <w:style w:type="paragraph" w:styleId="18">
    <w:name w:val="List"/>
    <w:basedOn w:val="1"/>
    <w:qFormat/>
    <w:uiPriority w:val="0"/>
    <w:pPr>
      <w:contextualSpacing/>
      <w:jc w:val="center"/>
    </w:pPr>
    <w:rPr>
      <w:rFonts w:ascii="Times New Roman" w:hAnsi="Times New Roman" w:eastAsia="宋体" w:cs="Times New Roman"/>
      <w:szCs w:val="24"/>
    </w:rPr>
  </w:style>
  <w:style w:type="paragraph" w:styleId="19">
    <w:name w:val="Normal (Web)"/>
    <w:basedOn w:val="1"/>
    <w:link w:val="45"/>
    <w:qFormat/>
    <w:uiPriority w:val="0"/>
    <w:pPr>
      <w:widowControl/>
      <w:spacing w:before="100" w:beforeAutospacing="1" w:after="100" w:afterAutospacing="1"/>
      <w:jc w:val="left"/>
    </w:pPr>
    <w:rPr>
      <w:rFonts w:ascii="宋体" w:hAnsi="宋体" w:eastAsia="宋体" w:cs="Times New Roman"/>
      <w:kern w:val="0"/>
      <w:sz w:val="24"/>
      <w:szCs w:val="20"/>
    </w:rPr>
  </w:style>
  <w:style w:type="paragraph" w:styleId="20">
    <w:name w:val="Title"/>
    <w:basedOn w:val="1"/>
    <w:next w:val="1"/>
    <w:link w:val="46"/>
    <w:qFormat/>
    <w:uiPriority w:val="0"/>
    <w:pPr>
      <w:spacing w:line="360" w:lineRule="auto"/>
      <w:jc w:val="center"/>
    </w:pPr>
    <w:rPr>
      <w:rFonts w:ascii="Times New Roman" w:hAnsi="Times New Roman" w:eastAsia="宋体" w:cs="Times New Roman"/>
      <w:b/>
      <w:bCs/>
      <w:sz w:val="24"/>
      <w:szCs w:val="32"/>
    </w:rPr>
  </w:style>
  <w:style w:type="paragraph" w:styleId="21">
    <w:name w:val="annotation subject"/>
    <w:basedOn w:val="6"/>
    <w:next w:val="6"/>
    <w:link w:val="47"/>
    <w:semiHidden/>
    <w:qFormat/>
    <w:uiPriority w:val="0"/>
    <w:rPr>
      <w:b/>
    </w:rPr>
  </w:style>
  <w:style w:type="paragraph" w:styleId="22">
    <w:name w:val="Body Text First Indent"/>
    <w:basedOn w:val="7"/>
    <w:next w:val="1"/>
    <w:link w:val="48"/>
    <w:qFormat/>
    <w:uiPriority w:val="0"/>
    <w:pPr>
      <w:spacing w:after="120"/>
      <w:ind w:firstLine="420" w:firstLineChars="100"/>
    </w:pPr>
    <w:rPr>
      <w:sz w:val="24"/>
    </w:rPr>
  </w:style>
  <w:style w:type="table" w:styleId="24">
    <w:name w:val="Table Grid"/>
    <w:basedOn w:val="23"/>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25">
    <w:name w:val="Table Theme"/>
    <w:basedOn w:val="2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7">
    <w:name w:val="Strong"/>
    <w:qFormat/>
    <w:uiPriority w:val="0"/>
    <w:rPr>
      <w:b/>
    </w:rPr>
  </w:style>
  <w:style w:type="character" w:styleId="28">
    <w:name w:val="page number"/>
    <w:qFormat/>
    <w:uiPriority w:val="0"/>
  </w:style>
  <w:style w:type="character" w:styleId="29">
    <w:name w:val="Hyperlink"/>
    <w:basedOn w:val="26"/>
    <w:unhideWhenUsed/>
    <w:qFormat/>
    <w:uiPriority w:val="99"/>
    <w:rPr>
      <w:color w:val="0000FF"/>
      <w:u w:val="single"/>
    </w:rPr>
  </w:style>
  <w:style w:type="character" w:styleId="30">
    <w:name w:val="annotation reference"/>
    <w:semiHidden/>
    <w:qFormat/>
    <w:uiPriority w:val="0"/>
    <w:rPr>
      <w:sz w:val="21"/>
    </w:rPr>
  </w:style>
  <w:style w:type="character" w:customStyle="1" w:styleId="31">
    <w:name w:val="标题 1 字符"/>
    <w:basedOn w:val="26"/>
    <w:link w:val="2"/>
    <w:qFormat/>
    <w:uiPriority w:val="99"/>
    <w:rPr>
      <w:rFonts w:ascii="Times New Roman" w:hAnsi="Times New Roman" w:eastAsia="黑体" w:cs="Times New Roman"/>
      <w:b/>
      <w:bCs/>
      <w:color w:val="000000"/>
      <w:kern w:val="44"/>
      <w:sz w:val="30"/>
      <w:szCs w:val="30"/>
    </w:rPr>
  </w:style>
  <w:style w:type="character" w:customStyle="1" w:styleId="32">
    <w:name w:val="标题 4 字符"/>
    <w:basedOn w:val="26"/>
    <w:link w:val="4"/>
    <w:qFormat/>
    <w:uiPriority w:val="0"/>
    <w:rPr>
      <w:rFonts w:ascii="Arial" w:hAnsi="Arial" w:eastAsia="黑体" w:cs="Times New Roman"/>
      <w:b/>
      <w:bCs/>
      <w:sz w:val="28"/>
      <w:szCs w:val="28"/>
    </w:rPr>
  </w:style>
  <w:style w:type="character" w:customStyle="1" w:styleId="33">
    <w:name w:val="正文文本 字符"/>
    <w:basedOn w:val="26"/>
    <w:link w:val="7"/>
    <w:qFormat/>
    <w:uiPriority w:val="0"/>
    <w:rPr>
      <w:rFonts w:ascii="Times New Roman" w:hAnsi="Times New Roman" w:eastAsia="宋体" w:cs="Times New Roman"/>
      <w:kern w:val="0"/>
      <w:sz w:val="18"/>
      <w:szCs w:val="20"/>
    </w:rPr>
  </w:style>
  <w:style w:type="character" w:customStyle="1" w:styleId="34">
    <w:name w:val="批注文字 字符"/>
    <w:basedOn w:val="26"/>
    <w:link w:val="6"/>
    <w:semiHidden/>
    <w:qFormat/>
    <w:uiPriority w:val="0"/>
    <w:rPr>
      <w:rFonts w:ascii="Times New Roman" w:hAnsi="Times New Roman" w:eastAsia="宋体" w:cs="Times New Roman"/>
      <w:kern w:val="0"/>
      <w:sz w:val="24"/>
      <w:szCs w:val="20"/>
    </w:rPr>
  </w:style>
  <w:style w:type="character" w:customStyle="1" w:styleId="35">
    <w:name w:val="正文文本缩进 字符"/>
    <w:basedOn w:val="26"/>
    <w:link w:val="8"/>
    <w:qFormat/>
    <w:uiPriority w:val="99"/>
    <w:rPr>
      <w:rFonts w:ascii="Times New Roman" w:hAnsi="Times New Roman" w:eastAsia="宋体" w:cs="Times New Roman"/>
      <w:kern w:val="0"/>
      <w:sz w:val="24"/>
      <w:szCs w:val="20"/>
    </w:rPr>
  </w:style>
  <w:style w:type="character" w:customStyle="1" w:styleId="36">
    <w:name w:val="正文文本首行缩进 2 字符"/>
    <w:basedOn w:val="35"/>
    <w:link w:val="9"/>
    <w:qFormat/>
    <w:uiPriority w:val="0"/>
    <w:rPr>
      <w:rFonts w:ascii="Times New Roman" w:hAnsi="Times New Roman" w:eastAsia="宋体" w:cs="Times New Roman"/>
      <w:kern w:val="0"/>
      <w:sz w:val="24"/>
      <w:szCs w:val="20"/>
    </w:rPr>
  </w:style>
  <w:style w:type="character" w:customStyle="1" w:styleId="37">
    <w:name w:val="纯文本 字符"/>
    <w:basedOn w:val="26"/>
    <w:link w:val="11"/>
    <w:qFormat/>
    <w:uiPriority w:val="0"/>
    <w:rPr>
      <w:rFonts w:ascii="宋体" w:hAnsi="Courier New" w:eastAsia="宋体" w:cs="Courier New"/>
      <w:szCs w:val="21"/>
    </w:rPr>
  </w:style>
  <w:style w:type="character" w:customStyle="1" w:styleId="38">
    <w:name w:val="日期 字符"/>
    <w:basedOn w:val="26"/>
    <w:semiHidden/>
    <w:qFormat/>
    <w:uiPriority w:val="0"/>
  </w:style>
  <w:style w:type="character" w:customStyle="1" w:styleId="39">
    <w:name w:val="日期 字符1"/>
    <w:link w:val="12"/>
    <w:qFormat/>
    <w:locked/>
    <w:uiPriority w:val="0"/>
    <w:rPr>
      <w:rFonts w:ascii="Times New Roman" w:hAnsi="Times New Roman" w:eastAsia="宋体" w:cs="Times New Roman"/>
      <w:kern w:val="0"/>
      <w:sz w:val="24"/>
      <w:szCs w:val="20"/>
    </w:rPr>
  </w:style>
  <w:style w:type="character" w:customStyle="1" w:styleId="40">
    <w:name w:val="批注框文本 字符"/>
    <w:basedOn w:val="26"/>
    <w:link w:val="13"/>
    <w:semiHidden/>
    <w:qFormat/>
    <w:uiPriority w:val="0"/>
    <w:rPr>
      <w:rFonts w:ascii="Times New Roman" w:hAnsi="Times New Roman" w:eastAsia="宋体" w:cs="Times New Roman"/>
      <w:kern w:val="0"/>
      <w:sz w:val="18"/>
      <w:szCs w:val="20"/>
    </w:rPr>
  </w:style>
  <w:style w:type="character" w:customStyle="1" w:styleId="41">
    <w:name w:val="页脚 字符"/>
    <w:basedOn w:val="26"/>
    <w:qFormat/>
    <w:uiPriority w:val="99"/>
    <w:rPr>
      <w:sz w:val="18"/>
      <w:szCs w:val="18"/>
    </w:rPr>
  </w:style>
  <w:style w:type="character" w:customStyle="1" w:styleId="42">
    <w:name w:val="页脚 字符1"/>
    <w:link w:val="14"/>
    <w:qFormat/>
    <w:locked/>
    <w:uiPriority w:val="99"/>
    <w:rPr>
      <w:rFonts w:ascii="Times New Roman" w:hAnsi="Times New Roman" w:eastAsia="宋体" w:cs="Times New Roman"/>
      <w:kern w:val="0"/>
      <w:sz w:val="18"/>
      <w:szCs w:val="20"/>
    </w:rPr>
  </w:style>
  <w:style w:type="character" w:customStyle="1" w:styleId="43">
    <w:name w:val="页眉 字符"/>
    <w:basedOn w:val="26"/>
    <w:link w:val="15"/>
    <w:qFormat/>
    <w:uiPriority w:val="0"/>
    <w:rPr>
      <w:rFonts w:ascii="Times New Roman" w:hAnsi="Times New Roman" w:eastAsia="宋体" w:cs="Times New Roman"/>
      <w:kern w:val="0"/>
      <w:sz w:val="18"/>
      <w:szCs w:val="20"/>
    </w:rPr>
  </w:style>
  <w:style w:type="character" w:customStyle="1" w:styleId="44">
    <w:name w:val="副标题 字符"/>
    <w:basedOn w:val="26"/>
    <w:link w:val="17"/>
    <w:qFormat/>
    <w:uiPriority w:val="11"/>
    <w:rPr>
      <w:rFonts w:ascii="Times New Roman" w:hAnsi="Times New Roman" w:eastAsia="宋体" w:cs="Courier New"/>
      <w:bCs/>
      <w:kern w:val="28"/>
      <w:szCs w:val="32"/>
    </w:rPr>
  </w:style>
  <w:style w:type="character" w:customStyle="1" w:styleId="45">
    <w:name w:val="普通(网站) 字符"/>
    <w:link w:val="19"/>
    <w:qFormat/>
    <w:locked/>
    <w:uiPriority w:val="0"/>
    <w:rPr>
      <w:rFonts w:ascii="宋体" w:hAnsi="宋体" w:eastAsia="宋体" w:cs="Times New Roman"/>
      <w:kern w:val="0"/>
      <w:sz w:val="24"/>
      <w:szCs w:val="20"/>
    </w:rPr>
  </w:style>
  <w:style w:type="character" w:customStyle="1" w:styleId="46">
    <w:name w:val="标题 字符"/>
    <w:basedOn w:val="26"/>
    <w:link w:val="20"/>
    <w:qFormat/>
    <w:uiPriority w:val="0"/>
    <w:rPr>
      <w:rFonts w:ascii="Times New Roman" w:hAnsi="Times New Roman" w:eastAsia="宋体" w:cs="Times New Roman"/>
      <w:b/>
      <w:bCs/>
      <w:sz w:val="24"/>
      <w:szCs w:val="32"/>
    </w:rPr>
  </w:style>
  <w:style w:type="character" w:customStyle="1" w:styleId="47">
    <w:name w:val="批注主题 字符"/>
    <w:basedOn w:val="34"/>
    <w:link w:val="21"/>
    <w:semiHidden/>
    <w:qFormat/>
    <w:uiPriority w:val="0"/>
    <w:rPr>
      <w:rFonts w:ascii="Times New Roman" w:hAnsi="Times New Roman" w:eastAsia="宋体" w:cs="Times New Roman"/>
      <w:b/>
      <w:kern w:val="0"/>
      <w:sz w:val="24"/>
      <w:szCs w:val="20"/>
    </w:rPr>
  </w:style>
  <w:style w:type="character" w:customStyle="1" w:styleId="48">
    <w:name w:val="正文文本首行缩进 字符"/>
    <w:basedOn w:val="33"/>
    <w:link w:val="22"/>
    <w:qFormat/>
    <w:uiPriority w:val="0"/>
    <w:rPr>
      <w:rFonts w:ascii="Times New Roman" w:hAnsi="Times New Roman" w:eastAsia="宋体" w:cs="Times New Roman"/>
      <w:kern w:val="0"/>
      <w:sz w:val="24"/>
      <w:szCs w:val="20"/>
    </w:rPr>
  </w:style>
  <w:style w:type="character" w:customStyle="1" w:styleId="49">
    <w:name w:val="正文文本 字符1"/>
    <w:semiHidden/>
    <w:qFormat/>
    <w:uiPriority w:val="0"/>
    <w:rPr>
      <w:rFonts w:ascii="Times New Roman" w:hAnsi="Times New Roman" w:eastAsia="宋体"/>
      <w:sz w:val="24"/>
    </w:rPr>
  </w:style>
  <w:style w:type="character" w:customStyle="1" w:styleId="50">
    <w:name w:val="表格 Char"/>
    <w:link w:val="51"/>
    <w:qFormat/>
    <w:locked/>
    <w:uiPriority w:val="0"/>
    <w:rPr>
      <w:rFonts w:ascii="宋体"/>
    </w:rPr>
  </w:style>
  <w:style w:type="paragraph" w:customStyle="1" w:styleId="51">
    <w:name w:val="表格"/>
    <w:basedOn w:val="1"/>
    <w:next w:val="1"/>
    <w:link w:val="50"/>
    <w:qFormat/>
    <w:uiPriority w:val="0"/>
    <w:pPr>
      <w:adjustRightInd w:val="0"/>
      <w:snapToGrid w:val="0"/>
      <w:spacing w:beforeLines="10" w:afterLines="10" w:line="259" w:lineRule="auto"/>
      <w:jc w:val="center"/>
    </w:pPr>
    <w:rPr>
      <w:rFonts w:ascii="宋体"/>
    </w:rPr>
  </w:style>
  <w:style w:type="character" w:customStyle="1" w:styleId="52">
    <w:name w:val="批注文字 字符1"/>
    <w:semiHidden/>
    <w:qFormat/>
    <w:uiPriority w:val="0"/>
    <w:rPr>
      <w:rFonts w:ascii="Times New Roman" w:hAnsi="Times New Roman" w:eastAsia="宋体"/>
      <w:sz w:val="24"/>
    </w:rPr>
  </w:style>
  <w:style w:type="paragraph" w:customStyle="1" w:styleId="53">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54">
    <w:name w:val="普通(网站)2"/>
    <w:basedOn w:val="1"/>
    <w:qFormat/>
    <w:uiPriority w:val="0"/>
    <w:pPr>
      <w:widowControl/>
      <w:spacing w:before="100" w:beforeAutospacing="1" w:after="100" w:afterAutospacing="1"/>
      <w:jc w:val="left"/>
    </w:pPr>
    <w:rPr>
      <w:rFonts w:ascii="宋体" w:hAnsi="宋体" w:eastAsia="宋体" w:cs="Times New Roman"/>
      <w:sz w:val="24"/>
      <w:szCs w:val="20"/>
    </w:rPr>
  </w:style>
  <w:style w:type="paragraph" w:customStyle="1" w:styleId="55">
    <w:name w:val="ky正文一"/>
    <w:basedOn w:val="1"/>
    <w:link w:val="56"/>
    <w:qFormat/>
    <w:uiPriority w:val="0"/>
    <w:pPr>
      <w:spacing w:line="360" w:lineRule="auto"/>
      <w:ind w:firstLine="200" w:firstLineChars="200"/>
    </w:pPr>
    <w:rPr>
      <w:rFonts w:ascii="Times New Roman" w:hAnsi="Times New Roman" w:eastAsia="宋体" w:cs="Times New Roman"/>
      <w:szCs w:val="24"/>
    </w:rPr>
  </w:style>
  <w:style w:type="character" w:customStyle="1" w:styleId="56">
    <w:name w:val="ky正文一 字符"/>
    <w:link w:val="55"/>
    <w:qFormat/>
    <w:uiPriority w:val="0"/>
    <w:rPr>
      <w:rFonts w:ascii="Times New Roman" w:hAnsi="Times New Roman" w:eastAsia="宋体" w:cs="Times New Roman"/>
      <w:szCs w:val="24"/>
    </w:rPr>
  </w:style>
  <w:style w:type="paragraph" w:customStyle="1" w:styleId="57">
    <w:name w:val="5E8A942B92774C978FFC2A16BCB09EA4"/>
    <w:qFormat/>
    <w:uiPriority w:val="99"/>
    <w:pPr>
      <w:spacing w:after="200" w:line="276" w:lineRule="auto"/>
    </w:pPr>
    <w:rPr>
      <w:rFonts w:ascii="Calibri" w:hAnsi="Calibri" w:eastAsia="宋体" w:cs="Times New Roman"/>
      <w:sz w:val="22"/>
      <w:szCs w:val="22"/>
      <w:lang w:val="en-US" w:eastAsia="en-US" w:bidi="ar-SA"/>
    </w:rPr>
  </w:style>
  <w:style w:type="paragraph" w:customStyle="1" w:styleId="58">
    <w:name w:val="ky-表内文字"/>
    <w:basedOn w:val="1"/>
    <w:next w:val="1"/>
    <w:qFormat/>
    <w:uiPriority w:val="0"/>
    <w:pPr>
      <w:adjustRightInd w:val="0"/>
      <w:snapToGrid w:val="0"/>
      <w:spacing w:line="240" w:lineRule="atLeast"/>
      <w:jc w:val="center"/>
    </w:pPr>
    <w:rPr>
      <w:rFonts w:ascii="Times New Roman" w:hAnsi="Times New Roman" w:eastAsia="宋体" w:cs="Times New Roman"/>
      <w:sz w:val="18"/>
      <w:szCs w:val="20"/>
    </w:rPr>
  </w:style>
  <w:style w:type="paragraph" w:customStyle="1" w:styleId="59">
    <w:name w:val="..表格内容"/>
    <w:qFormat/>
    <w:uiPriority w:val="99"/>
    <w:pPr>
      <w:widowControl w:val="0"/>
      <w:jc w:val="center"/>
    </w:pPr>
    <w:rPr>
      <w:rFonts w:ascii="Times New Roman" w:hAnsi="宋体" w:eastAsia="宋体" w:cs="Times New Roman"/>
      <w:sz w:val="21"/>
      <w:szCs w:val="24"/>
      <w:lang w:val="en-US" w:eastAsia="zh-CN" w:bidi="ar-SA"/>
    </w:rPr>
  </w:style>
  <w:style w:type="paragraph" w:customStyle="1" w:styleId="60">
    <w:name w:val="表格数字"/>
    <w:basedOn w:val="1"/>
    <w:qFormat/>
    <w:uiPriority w:val="0"/>
    <w:pPr>
      <w:spacing w:line="360" w:lineRule="exact"/>
      <w:jc w:val="center"/>
    </w:pPr>
    <w:rPr>
      <w:rFonts w:ascii="Arial" w:hAnsi="Arial" w:eastAsia="宋体" w:cs="宋体"/>
      <w:kern w:val="0"/>
      <w:szCs w:val="24"/>
    </w:rPr>
  </w:style>
  <w:style w:type="paragraph" w:customStyle="1" w:styleId="61">
    <w:name w:val="1正文"/>
    <w:basedOn w:val="1"/>
    <w:qFormat/>
    <w:uiPriority w:val="99"/>
    <w:pPr>
      <w:widowControl/>
      <w:spacing w:line="360" w:lineRule="auto"/>
      <w:ind w:firstLine="200" w:firstLineChars="200"/>
    </w:pPr>
    <w:rPr>
      <w:rFonts w:ascii="Times New Roman" w:hAnsi="Times New Roman" w:eastAsia="宋体" w:cs="Times New Roman"/>
      <w:kern w:val="0"/>
      <w:sz w:val="24"/>
      <w:szCs w:val="20"/>
      <w:lang w:val="en-GB"/>
    </w:rPr>
  </w:style>
  <w:style w:type="paragraph" w:customStyle="1" w:styleId="62">
    <w:name w:val="Table Paragraph"/>
    <w:basedOn w:val="1"/>
    <w:qFormat/>
    <w:uiPriority w:val="0"/>
    <w:pPr>
      <w:autoSpaceDE w:val="0"/>
      <w:autoSpaceDN w:val="0"/>
      <w:adjustRightInd w:val="0"/>
      <w:jc w:val="left"/>
    </w:pPr>
    <w:rPr>
      <w:rFonts w:ascii="宋体" w:hAnsi="Times New Roman" w:eastAsia="宋体" w:cs="宋体"/>
      <w:kern w:val="0"/>
      <w:sz w:val="24"/>
      <w:szCs w:val="24"/>
    </w:rPr>
  </w:style>
  <w:style w:type="paragraph" w:styleId="63">
    <w:name w:val="List Paragraph"/>
    <w:basedOn w:val="1"/>
    <w:qFormat/>
    <w:uiPriority w:val="1"/>
    <w:pPr>
      <w:autoSpaceDE w:val="0"/>
      <w:autoSpaceDN w:val="0"/>
      <w:adjustRightInd w:val="0"/>
      <w:spacing w:before="213"/>
      <w:ind w:left="1303" w:hanging="602"/>
      <w:jc w:val="left"/>
    </w:pPr>
    <w:rPr>
      <w:rFonts w:ascii="宋体" w:hAnsi="Times New Roman" w:eastAsia="宋体" w:cs="宋体"/>
      <w:kern w:val="0"/>
      <w:sz w:val="24"/>
      <w:szCs w:val="24"/>
    </w:rPr>
  </w:style>
  <w:style w:type="character" w:customStyle="1" w:styleId="64">
    <w:name w:val="fontstyle01"/>
    <w:qFormat/>
    <w:uiPriority w:val="0"/>
    <w:rPr>
      <w:rFonts w:hint="eastAsia" w:ascii="仿宋_GB2312" w:eastAsia="仿宋_GB2312"/>
      <w:color w:val="000000"/>
      <w:sz w:val="18"/>
      <w:szCs w:val="18"/>
    </w:rPr>
  </w:style>
  <w:style w:type="character" w:customStyle="1" w:styleId="65">
    <w:name w:val="fontstyle21"/>
    <w:qFormat/>
    <w:uiPriority w:val="0"/>
    <w:rPr>
      <w:rFonts w:hint="default" w:ascii="Times New Roman" w:hAnsi="Times New Roman" w:cs="Times New Roman"/>
      <w:color w:val="000000"/>
      <w:sz w:val="22"/>
      <w:szCs w:val="22"/>
    </w:rPr>
  </w:style>
  <w:style w:type="character" w:customStyle="1" w:styleId="66">
    <w:name w:val="fontstyle11"/>
    <w:qFormat/>
    <w:uiPriority w:val="0"/>
    <w:rPr>
      <w:rFonts w:hint="default" w:ascii="Times New Roman" w:hAnsi="Times New Roman" w:cs="Times New Roman"/>
      <w:color w:val="000000"/>
      <w:sz w:val="22"/>
      <w:szCs w:val="22"/>
    </w:rPr>
  </w:style>
  <w:style w:type="paragraph" w:customStyle="1" w:styleId="67">
    <w:name w:val="Ay表内文字"/>
    <w:basedOn w:val="1"/>
    <w:link w:val="68"/>
    <w:qFormat/>
    <w:uiPriority w:val="0"/>
    <w:pPr>
      <w:widowControl/>
      <w:spacing w:line="240" w:lineRule="atLeast"/>
      <w:jc w:val="center"/>
    </w:pPr>
    <w:rPr>
      <w:rFonts w:ascii="Times New Roman" w:hAnsi="Times New Roman" w:eastAsia="宋体" w:cs="Times New Roman"/>
      <w:kern w:val="18"/>
      <w:szCs w:val="24"/>
      <w:lang w:eastAsia="en-US" w:bidi="en-US"/>
    </w:rPr>
  </w:style>
  <w:style w:type="character" w:customStyle="1" w:styleId="68">
    <w:name w:val="Ay表内文字 Char"/>
    <w:link w:val="67"/>
    <w:qFormat/>
    <w:uiPriority w:val="0"/>
    <w:rPr>
      <w:rFonts w:ascii="Times New Roman" w:hAnsi="Times New Roman" w:eastAsia="宋体" w:cs="Times New Roman"/>
      <w:kern w:val="18"/>
      <w:szCs w:val="24"/>
      <w:lang w:eastAsia="en-US" w:bidi="en-US"/>
    </w:rPr>
  </w:style>
  <w:style w:type="character" w:customStyle="1" w:styleId="69">
    <w:name w:val="font21"/>
    <w:basedOn w:val="26"/>
    <w:qFormat/>
    <w:uiPriority w:val="0"/>
    <w:rPr>
      <w:rFonts w:ascii="Calibri" w:hAnsi="Calibri" w:cs="Calibri"/>
      <w:color w:val="000000"/>
      <w:sz w:val="20"/>
      <w:szCs w:val="20"/>
      <w:u w:val="none"/>
    </w:rPr>
  </w:style>
  <w:style w:type="character" w:customStyle="1" w:styleId="70">
    <w:name w:val="font11"/>
    <w:basedOn w:val="26"/>
    <w:qFormat/>
    <w:uiPriority w:val="0"/>
    <w:rPr>
      <w:rFonts w:hint="eastAsia" w:ascii="宋体" w:hAnsi="宋体" w:eastAsia="宋体" w:cs="宋体"/>
      <w:color w:val="000000"/>
      <w:sz w:val="20"/>
      <w:szCs w:val="20"/>
      <w:u w:val="none"/>
    </w:rPr>
  </w:style>
  <w:style w:type="character" w:customStyle="1" w:styleId="71">
    <w:name w:val="font31"/>
    <w:basedOn w:val="26"/>
    <w:qFormat/>
    <w:uiPriority w:val="0"/>
    <w:rPr>
      <w:rFonts w:ascii="仿宋_GB2312" w:eastAsia="仿宋_GB2312" w:cs="仿宋_GB2312"/>
      <w:color w:val="000000"/>
      <w:sz w:val="18"/>
      <w:szCs w:val="18"/>
      <w:u w:val="none"/>
      <w:vertAlign w:val="superscript"/>
    </w:rPr>
  </w:style>
  <w:style w:type="character" w:customStyle="1" w:styleId="72">
    <w:name w:val="font41"/>
    <w:basedOn w:val="26"/>
    <w:qFormat/>
    <w:uiPriority w:val="0"/>
    <w:rPr>
      <w:rFonts w:hint="default" w:ascii="仿宋_GB2312" w:eastAsia="仿宋_GB2312" w:cs="仿宋_GB2312"/>
      <w:color w:val="000000"/>
      <w:sz w:val="18"/>
      <w:szCs w:val="18"/>
      <w:u w:val="none"/>
    </w:rPr>
  </w:style>
  <w:style w:type="paragraph" w:customStyle="1" w:styleId="73">
    <w:name w:val="李-正文"/>
    <w:qFormat/>
    <w:uiPriority w:val="0"/>
    <w:pPr>
      <w:widowControl w:val="0"/>
      <w:spacing w:line="360" w:lineRule="auto"/>
      <w:ind w:firstLine="560" w:firstLineChars="200"/>
      <w:jc w:val="both"/>
    </w:pPr>
    <w:rPr>
      <w:rFonts w:ascii="Times New Roman" w:hAnsi="Times New Roman" w:eastAsia="宋体" w:cs="Times New Roman"/>
      <w:kern w:val="2"/>
      <w:sz w:val="24"/>
      <w:szCs w:val="24"/>
      <w:lang w:val="en-US" w:eastAsia="zh-CN" w:bidi="ar-SA"/>
    </w:rPr>
  </w:style>
  <w:style w:type="paragraph" w:customStyle="1" w:styleId="74">
    <w:name w:val="正文—高"/>
    <w:basedOn w:val="1"/>
    <w:qFormat/>
    <w:uiPriority w:val="0"/>
    <w:pPr>
      <w:spacing w:line="360" w:lineRule="auto"/>
      <w:ind w:firstLine="1040" w:firstLineChars="200"/>
      <w:textAlignment w:val="baseline"/>
    </w:pPr>
    <w:rPr>
      <w:rFonts w:ascii="Calibri" w:hAnsi="Calibri" w:eastAsia="宋体" w:cs="Times New Roman"/>
      <w:color w:val="000000"/>
      <w:kern w:val="24"/>
      <w:sz w:val="24"/>
      <w:szCs w:val="20"/>
    </w:rPr>
  </w:style>
  <w:style w:type="paragraph" w:customStyle="1" w:styleId="75">
    <w:name w:val="表头—高"/>
    <w:basedOn w:val="1"/>
    <w:qFormat/>
    <w:uiPriority w:val="0"/>
    <w:pPr>
      <w:adjustRightInd w:val="0"/>
      <w:snapToGrid w:val="0"/>
      <w:spacing w:before="40" w:beforeLines="40" w:after="10" w:afterLines="10"/>
      <w:jc w:val="center"/>
    </w:pPr>
    <w:rPr>
      <w:rFonts w:ascii="Times New Roman" w:hAnsi="Times New Roman" w:eastAsia="宋体" w:cs="Times New Roman"/>
      <w:b/>
      <w:szCs w:val="24"/>
    </w:rPr>
  </w:style>
  <w:style w:type="paragraph" w:customStyle="1" w:styleId="76">
    <w:name w:val="表内容"/>
    <w:qFormat/>
    <w:uiPriority w:val="0"/>
    <w:pPr>
      <w:jc w:val="center"/>
    </w:pPr>
    <w:rPr>
      <w:rFonts w:ascii="Times New Roman" w:hAnsi="Times New Roman" w:eastAsia="宋体" w:cs="Times New Roman"/>
      <w:sz w:val="21"/>
      <w:lang w:val="en-US" w:eastAsia="zh-CN" w:bidi="ar-SA"/>
    </w:rPr>
  </w:style>
  <w:style w:type="paragraph" w:customStyle="1" w:styleId="77">
    <w:name w:val="HP表格标题"/>
    <w:qFormat/>
    <w:uiPriority w:val="0"/>
    <w:pPr>
      <w:spacing w:line="440" w:lineRule="exact"/>
      <w:jc w:val="center"/>
    </w:pPr>
    <w:rPr>
      <w:rFonts w:ascii="Times New Roman" w:hAnsi="Times New Roman" w:eastAsia="宋体" w:cs="Times New Roman"/>
      <w:b/>
      <w:sz w:val="24"/>
      <w:szCs w:val="24"/>
      <w:lang w:val="en-US" w:eastAsia="zh-CN" w:bidi="ar-SA"/>
    </w:rPr>
  </w:style>
  <w:style w:type="paragraph" w:customStyle="1" w:styleId="78">
    <w:name w:val="HP表格内容"/>
    <w:qFormat/>
    <w:uiPriority w:val="0"/>
    <w:pPr>
      <w:jc w:val="center"/>
    </w:pPr>
    <w:rPr>
      <w:rFonts w:ascii="Times New Roman" w:hAnsi="Times New Roman" w:eastAsia="宋体" w:cs="Times New Roman"/>
      <w:sz w:val="24"/>
      <w:szCs w:val="24"/>
      <w:lang w:val="en-US" w:eastAsia="zh-CN" w:bidi="ar-SA"/>
    </w:rPr>
  </w:style>
  <w:style w:type="paragraph" w:customStyle="1" w:styleId="79">
    <w:name w:val="表"/>
    <w:basedOn w:val="1"/>
    <w:qFormat/>
    <w:uiPriority w:val="0"/>
    <w:pPr>
      <w:snapToGrid w:val="0"/>
      <w:jc w:val="center"/>
    </w:pPr>
    <w:rPr>
      <w:rFonts w:ascii="Calibri" w:hAnsi="Calibri" w:eastAsia="宋体" w:cs="Times New Roman"/>
      <w:spacing w:val="2"/>
      <w:szCs w:val="20"/>
    </w:rPr>
  </w:style>
  <w:style w:type="paragraph" w:customStyle="1" w:styleId="80">
    <w:name w:val="样式 正文缩进正文缩进2正文缩进 Char Char正文缩进 Char Char Char Char正文缩进 Char ..."/>
    <w:basedOn w:val="5"/>
    <w:qFormat/>
    <w:uiPriority w:val="0"/>
    <w:pPr>
      <w:spacing w:line="360" w:lineRule="auto"/>
      <w:ind w:firstLine="200"/>
    </w:pPr>
    <w:rPr>
      <w:rFonts w:cs="宋体"/>
      <w:sz w:val="24"/>
    </w:rPr>
  </w:style>
  <w:style w:type="paragraph" w:customStyle="1" w:styleId="81">
    <w:name w:val="0正文"/>
    <w:basedOn w:val="8"/>
    <w:qFormat/>
    <w:uiPriority w:val="0"/>
    <w:pPr>
      <w:spacing w:after="0" w:line="360" w:lineRule="auto"/>
      <w:ind w:left="0" w:leftChars="0" w:firstLine="200" w:firstLineChars="200"/>
    </w:pPr>
    <w:rPr>
      <w:kern w:val="2"/>
      <w:szCs w:val="22"/>
    </w:rPr>
  </w:style>
  <w:style w:type="paragraph" w:customStyle="1" w:styleId="82">
    <w:name w:val="表格正文wcl"/>
    <w:basedOn w:val="1"/>
    <w:link w:val="99"/>
    <w:qFormat/>
    <w:uiPriority w:val="0"/>
    <w:pPr>
      <w:tabs>
        <w:tab w:val="left" w:pos="0"/>
      </w:tabs>
      <w:adjustRightInd w:val="0"/>
      <w:snapToGrid w:val="0"/>
      <w:spacing w:line="360" w:lineRule="auto"/>
      <w:ind w:firstLine="480" w:firstLineChars="200"/>
    </w:pPr>
    <w:rPr>
      <w:rFonts w:hint="eastAsia" w:ascii="宋体" w:hAnsi="宋体" w:eastAsia="宋体" w:cs="宋体"/>
      <w:sz w:val="24"/>
      <w:szCs w:val="24"/>
    </w:rPr>
  </w:style>
  <w:style w:type="paragraph" w:customStyle="1" w:styleId="83">
    <w:name w:val="表中表正文wcl"/>
    <w:basedOn w:val="1"/>
    <w:qFormat/>
    <w:uiPriority w:val="0"/>
    <w:rPr>
      <w:rFonts w:hint="eastAsia" w:ascii="宋体" w:hAnsi="宋体" w:eastAsia="宋体" w:cs="宋体"/>
      <w:szCs w:val="21"/>
    </w:rPr>
  </w:style>
  <w:style w:type="paragraph" w:customStyle="1" w:styleId="84">
    <w:name w:val="表中表分类项目wcl"/>
    <w:basedOn w:val="1"/>
    <w:qFormat/>
    <w:uiPriority w:val="0"/>
    <w:pPr>
      <w:spacing w:line="240" w:lineRule="atLeast"/>
      <w:jc w:val="center"/>
    </w:pPr>
    <w:rPr>
      <w:rFonts w:ascii="Times New Roman" w:hAnsi="Times New Roman" w:eastAsia="宋体" w:cs="Times New Roman"/>
      <w:szCs w:val="21"/>
    </w:rPr>
  </w:style>
  <w:style w:type="paragraph" w:customStyle="1" w:styleId="85">
    <w:name w:val="多格表正文wcl"/>
    <w:basedOn w:val="1"/>
    <w:qFormat/>
    <w:uiPriority w:val="0"/>
    <w:pPr>
      <w:adjustRightInd w:val="0"/>
      <w:snapToGrid w:val="0"/>
      <w:spacing w:line="240" w:lineRule="atLeast"/>
      <w:jc w:val="left"/>
    </w:pPr>
    <w:rPr>
      <w:rFonts w:hint="eastAsia" w:ascii="宋体" w:hAnsi="宋体" w:eastAsia="宋体" w:cs="宋体"/>
      <w:sz w:val="24"/>
      <w:szCs w:val="24"/>
    </w:rPr>
  </w:style>
  <w:style w:type="paragraph" w:customStyle="1" w:styleId="86">
    <w:name w:val="多格表分类项目wcl"/>
    <w:basedOn w:val="1"/>
    <w:qFormat/>
    <w:uiPriority w:val="0"/>
    <w:pPr>
      <w:adjustRightInd w:val="0"/>
      <w:snapToGrid w:val="0"/>
      <w:spacing w:line="240" w:lineRule="atLeast"/>
      <w:jc w:val="center"/>
    </w:pPr>
    <w:rPr>
      <w:rFonts w:hint="eastAsia" w:ascii="宋体" w:hAnsi="宋体" w:eastAsia="宋体" w:cs="宋体"/>
      <w:sz w:val="24"/>
      <w:szCs w:val="24"/>
    </w:rPr>
  </w:style>
  <w:style w:type="paragraph" w:customStyle="1" w:styleId="87">
    <w:name w:val="A样式 小四 行距: 1.5 倍行距 首行缩进:  2 字符"/>
    <w:basedOn w:val="1"/>
    <w:qFormat/>
    <w:uiPriority w:val="0"/>
    <w:pPr>
      <w:ind w:firstLine="480"/>
    </w:pPr>
    <w:rPr>
      <w:rFonts w:cs="宋体"/>
    </w:rPr>
  </w:style>
  <w:style w:type="paragraph" w:customStyle="1" w:styleId="88">
    <w:name w:val="3表格内容"/>
    <w:basedOn w:val="1"/>
    <w:link w:val="104"/>
    <w:unhideWhenUsed/>
    <w:qFormat/>
    <w:uiPriority w:val="0"/>
    <w:pPr>
      <w:adjustRightInd w:val="0"/>
      <w:snapToGrid w:val="0"/>
      <w:jc w:val="center"/>
    </w:pPr>
    <w:rPr>
      <w:rFonts w:ascii="Times New Roman" w:hAnsi="Times New Roman" w:eastAsia="宋体"/>
      <w:kern w:val="0"/>
    </w:rPr>
  </w:style>
  <w:style w:type="paragraph" w:customStyle="1" w:styleId="89">
    <w:name w:val="表中表表头wcl"/>
    <w:basedOn w:val="1"/>
    <w:qFormat/>
    <w:uiPriority w:val="0"/>
    <w:pPr>
      <w:adjustRightInd w:val="0"/>
      <w:snapToGrid w:val="0"/>
      <w:jc w:val="center"/>
    </w:pPr>
    <w:rPr>
      <w:rFonts w:hint="eastAsia" w:ascii="宋体" w:hAnsi="宋体" w:eastAsia="宋体" w:cs="宋体"/>
      <w:b/>
      <w:bCs/>
      <w:color w:val="000000"/>
      <w:sz w:val="24"/>
      <w:szCs w:val="21"/>
    </w:rPr>
  </w:style>
  <w:style w:type="paragraph" w:customStyle="1" w:styleId="90">
    <w:name w:val="一级标题wcl"/>
    <w:basedOn w:val="1"/>
    <w:link w:val="91"/>
    <w:qFormat/>
    <w:uiPriority w:val="0"/>
    <w:pPr>
      <w:widowControl/>
      <w:numPr>
        <w:ilvl w:val="0"/>
        <w:numId w:val="1"/>
      </w:numPr>
      <w:spacing w:beforeAutospacing="1" w:afterAutospacing="1"/>
      <w:ind w:left="0"/>
      <w:jc w:val="center"/>
      <w:outlineLvl w:val="0"/>
    </w:pPr>
    <w:rPr>
      <w:rFonts w:hint="eastAsia" w:ascii="黑体" w:hAnsi="黑体" w:eastAsia="黑体" w:cs="Times New Roman"/>
      <w:b/>
      <w:snapToGrid w:val="0"/>
      <w:color w:val="000000"/>
      <w:kern w:val="0"/>
      <w:sz w:val="30"/>
      <w:szCs w:val="30"/>
    </w:rPr>
  </w:style>
  <w:style w:type="character" w:customStyle="1" w:styleId="91">
    <w:name w:val="一级标题wcl Char"/>
    <w:link w:val="90"/>
    <w:qFormat/>
    <w:uiPriority w:val="0"/>
    <w:rPr>
      <w:rFonts w:hint="eastAsia" w:ascii="黑体" w:hAnsi="黑体" w:eastAsia="黑体" w:cs="Times New Roman"/>
      <w:b/>
      <w:snapToGrid w:val="0"/>
      <w:color w:val="000000"/>
      <w:kern w:val="0"/>
      <w:sz w:val="30"/>
      <w:szCs w:val="30"/>
    </w:rPr>
  </w:style>
  <w:style w:type="paragraph" w:customStyle="1" w:styleId="92">
    <w:name w:val="二级标题wcl"/>
    <w:basedOn w:val="1"/>
    <w:link w:val="93"/>
    <w:qFormat/>
    <w:uiPriority w:val="0"/>
    <w:pPr>
      <w:numPr>
        <w:ilvl w:val="0"/>
        <w:numId w:val="2"/>
      </w:numPr>
      <w:tabs>
        <w:tab w:val="left" w:pos="0"/>
        <w:tab w:val="left" w:pos="425"/>
      </w:tabs>
      <w:autoSpaceDE w:val="0"/>
      <w:autoSpaceDN w:val="0"/>
      <w:adjustRightInd w:val="0"/>
      <w:snapToGrid w:val="0"/>
      <w:spacing w:before="50" w:beforeLines="50" w:line="360" w:lineRule="auto"/>
      <w:jc w:val="left"/>
    </w:pPr>
    <w:rPr>
      <w:rFonts w:hint="eastAsia" w:ascii="宋体" w:hAnsi="宋体" w:eastAsia="宋体" w:cs="宋体"/>
      <w:b/>
      <w:bCs/>
      <w:snapToGrid w:val="0"/>
      <w:color w:val="000000"/>
      <w:kern w:val="0"/>
      <w:sz w:val="24"/>
    </w:rPr>
  </w:style>
  <w:style w:type="character" w:customStyle="1" w:styleId="93">
    <w:name w:val="二级标题wcl Char"/>
    <w:link w:val="92"/>
    <w:qFormat/>
    <w:uiPriority w:val="0"/>
    <w:rPr>
      <w:rFonts w:ascii="宋体" w:hAnsi="宋体" w:cs="宋体"/>
      <w:b/>
      <w:bCs/>
      <w:snapToGrid w:val="0"/>
      <w:color w:val="000000"/>
      <w:sz w:val="24"/>
      <w:szCs w:val="22"/>
    </w:rPr>
  </w:style>
  <w:style w:type="paragraph" w:customStyle="1" w:styleId="94">
    <w:name w:val="三级标题wcl"/>
    <w:basedOn w:val="1"/>
    <w:link w:val="97"/>
    <w:qFormat/>
    <w:uiPriority w:val="0"/>
    <w:pPr>
      <w:numPr>
        <w:ilvl w:val="0"/>
        <w:numId w:val="3"/>
      </w:numPr>
      <w:autoSpaceDE w:val="0"/>
      <w:autoSpaceDN w:val="0"/>
      <w:adjustRightInd w:val="0"/>
      <w:snapToGrid w:val="0"/>
      <w:spacing w:line="360" w:lineRule="auto"/>
    </w:pPr>
    <w:rPr>
      <w:rFonts w:eastAsia="宋体"/>
      <w:b/>
      <w:bCs/>
      <w:color w:val="000000"/>
      <w:kern w:val="0"/>
      <w:sz w:val="24"/>
    </w:rPr>
  </w:style>
  <w:style w:type="paragraph" w:customStyle="1" w:styleId="95">
    <w:name w:val="样式1"/>
    <w:basedOn w:val="1"/>
    <w:qFormat/>
    <w:uiPriority w:val="0"/>
  </w:style>
  <w:style w:type="paragraph" w:customStyle="1" w:styleId="96">
    <w:name w:val="三级标题"/>
    <w:basedOn w:val="1"/>
    <w:qFormat/>
    <w:uiPriority w:val="0"/>
  </w:style>
  <w:style w:type="character" w:customStyle="1" w:styleId="97">
    <w:name w:val="三级标题wcl Char"/>
    <w:link w:val="94"/>
    <w:qFormat/>
    <w:uiPriority w:val="0"/>
    <w:rPr>
      <w:rFonts w:asciiTheme="minorHAnsi" w:hAnsiTheme="minorHAnsi" w:cstheme="minorBidi"/>
      <w:b/>
      <w:bCs/>
      <w:color w:val="000000"/>
      <w:sz w:val="24"/>
      <w:szCs w:val="22"/>
    </w:rPr>
  </w:style>
  <w:style w:type="paragraph" w:customStyle="1" w:styleId="98">
    <w:name w:val="表头"/>
    <w:basedOn w:val="1"/>
    <w:qFormat/>
    <w:uiPriority w:val="0"/>
    <w:pPr>
      <w:adjustRightInd w:val="0"/>
      <w:snapToGrid w:val="0"/>
      <w:jc w:val="center"/>
    </w:pPr>
    <w:rPr>
      <w:rFonts w:hint="eastAsia" w:ascii="宋体" w:hAnsi="宋体" w:eastAsia="宋体" w:cs="宋体"/>
      <w:b/>
      <w:bCs/>
      <w:color w:val="000000"/>
      <w:sz w:val="24"/>
      <w:szCs w:val="24"/>
    </w:rPr>
  </w:style>
  <w:style w:type="character" w:customStyle="1" w:styleId="99">
    <w:name w:val="表格正文wcl Char"/>
    <w:link w:val="82"/>
    <w:qFormat/>
    <w:uiPriority w:val="0"/>
    <w:rPr>
      <w:rFonts w:hint="eastAsia" w:ascii="宋体" w:hAnsi="宋体" w:eastAsia="宋体" w:cs="宋体"/>
      <w:sz w:val="24"/>
      <w:szCs w:val="24"/>
    </w:rPr>
  </w:style>
  <w:style w:type="paragraph" w:customStyle="1" w:styleId="100">
    <w:name w:val="四级标题wcl"/>
    <w:basedOn w:val="1"/>
    <w:link w:val="101"/>
    <w:qFormat/>
    <w:uiPriority w:val="0"/>
    <w:pPr>
      <w:numPr>
        <w:ilvl w:val="0"/>
        <w:numId w:val="4"/>
      </w:numPr>
      <w:tabs>
        <w:tab w:val="left" w:pos="0"/>
      </w:tabs>
      <w:spacing w:line="360" w:lineRule="auto"/>
    </w:pPr>
    <w:rPr>
      <w:rFonts w:ascii="宋体" w:hAnsi="宋体" w:eastAsia="宋体" w:cs="宋体"/>
      <w:sz w:val="24"/>
      <w:szCs w:val="24"/>
    </w:rPr>
  </w:style>
  <w:style w:type="character" w:customStyle="1" w:styleId="101">
    <w:name w:val="四级标题wcl Char"/>
    <w:link w:val="100"/>
    <w:qFormat/>
    <w:uiPriority w:val="0"/>
    <w:rPr>
      <w:rFonts w:ascii="宋体" w:hAnsi="宋体" w:cs="宋体"/>
      <w:kern w:val="2"/>
      <w:sz w:val="24"/>
      <w:szCs w:val="24"/>
    </w:rPr>
  </w:style>
  <w:style w:type="paragraph" w:customStyle="1" w:styleId="102">
    <w:name w:val="样式2"/>
    <w:basedOn w:val="1"/>
    <w:qFormat/>
    <w:uiPriority w:val="0"/>
  </w:style>
  <w:style w:type="paragraph" w:customStyle="1" w:styleId="103">
    <w:name w:val="多格表表头wcl"/>
    <w:basedOn w:val="1"/>
    <w:qFormat/>
    <w:uiPriority w:val="0"/>
    <w:pPr>
      <w:adjustRightInd w:val="0"/>
      <w:snapToGrid w:val="0"/>
      <w:spacing w:line="240" w:lineRule="atLeast"/>
      <w:jc w:val="center"/>
    </w:pPr>
    <w:rPr>
      <w:rFonts w:ascii="宋体" w:hAnsi="宋体" w:cs="宋体"/>
      <w:b/>
      <w:bCs/>
      <w:sz w:val="24"/>
      <w:szCs w:val="24"/>
    </w:rPr>
  </w:style>
  <w:style w:type="character" w:customStyle="1" w:styleId="104">
    <w:name w:val="3表格内容 Char"/>
    <w:link w:val="88"/>
    <w:qFormat/>
    <w:uiPriority w:val="0"/>
    <w:rPr>
      <w:rFonts w:cstheme="minorBidi"/>
      <w:sz w:val="21"/>
      <w:szCs w:val="22"/>
    </w:rPr>
  </w:style>
  <w:style w:type="paragraph" w:customStyle="1" w:styleId="105">
    <w:name w:val="新正文"/>
    <w:basedOn w:val="1"/>
    <w:qFormat/>
    <w:uiPriority w:val="0"/>
    <w:pPr>
      <w:topLinePunct/>
      <w:ind w:firstLine="200" w:firstLineChars="200"/>
    </w:pPr>
    <w:rPr>
      <w:rFonts w:ascii="Times New Roman" w:hAnsi="Times New Roman" w:eastAsia="宋体" w:cs="Times New Roman"/>
      <w:szCs w:val="21"/>
    </w:rPr>
  </w:style>
  <w:style w:type="paragraph" w:customStyle="1" w:styleId="106">
    <w:name w:val="hdy"/>
    <w:basedOn w:val="1"/>
    <w:qFormat/>
    <w:uiPriority w:val="0"/>
    <w:pPr>
      <w:adjustRightInd w:val="0"/>
      <w:snapToGrid w:val="0"/>
      <w:spacing w:line="500" w:lineRule="exact"/>
      <w:ind w:firstLine="200" w:firstLineChars="200"/>
    </w:pPr>
    <w:rPr>
      <w:rFonts w:ascii="MS Serif" w:hAnsi="MS Serif" w:eastAsia="宋体" w:cs="宋体"/>
      <w:bCs/>
      <w:color w:val="0000FF"/>
      <w:sz w:val="24"/>
      <w:szCs w:val="24"/>
    </w:rPr>
  </w:style>
  <w:style w:type="paragraph" w:customStyle="1" w:styleId="107">
    <w:name w:val="正文首行缩进 21"/>
    <w:basedOn w:val="8"/>
    <w:next w:val="1"/>
    <w:semiHidden/>
    <w:qFormat/>
    <w:uiPriority w:val="0"/>
    <w:pPr>
      <w:spacing w:before="100" w:beforeAutospacing="1"/>
      <w:ind w:firstLine="420"/>
    </w:pPr>
    <w:rPr>
      <w:szCs w:val="24"/>
    </w:rPr>
  </w:style>
  <w:style w:type="paragraph" w:customStyle="1" w:styleId="108">
    <w:name w:val="修订1"/>
    <w:hidden/>
    <w:semiHidden/>
    <w:qFormat/>
    <w:uiPriority w:val="99"/>
    <w:rPr>
      <w:rFonts w:asciiTheme="minorHAnsi" w:hAnsiTheme="minorHAnsi" w:eastAsiaTheme="minorEastAsia" w:cstheme="minorBidi"/>
      <w:kern w:val="2"/>
      <w:sz w:val="21"/>
      <w:szCs w:val="22"/>
      <w:lang w:val="en-US" w:eastAsia="zh-CN" w:bidi="ar-SA"/>
    </w:rPr>
  </w:style>
  <w:style w:type="character" w:customStyle="1" w:styleId="109">
    <w:name w:val="YYH正文 字符"/>
    <w:basedOn w:val="26"/>
    <w:link w:val="110"/>
    <w:qFormat/>
    <w:locked/>
    <w:uiPriority w:val="0"/>
    <w:rPr>
      <w:rFonts w:cstheme="minorBidi"/>
      <w:kern w:val="2"/>
      <w:sz w:val="24"/>
      <w:szCs w:val="22"/>
    </w:rPr>
  </w:style>
  <w:style w:type="paragraph" w:customStyle="1" w:styleId="110">
    <w:name w:val="YYH正文"/>
    <w:basedOn w:val="1"/>
    <w:link w:val="109"/>
    <w:qFormat/>
    <w:uiPriority w:val="0"/>
    <w:pPr>
      <w:spacing w:line="360" w:lineRule="auto"/>
      <w:ind w:firstLine="200" w:firstLineChars="200"/>
    </w:pPr>
    <w:rPr>
      <w:rFonts w:ascii="Times New Roman" w:hAnsi="Times New Roman" w:eastAsia="宋体"/>
      <w:sz w:val="24"/>
    </w:rPr>
  </w:style>
  <w:style w:type="paragraph" w:customStyle="1" w:styleId="111">
    <w:name w:val="正文一"/>
    <w:basedOn w:val="1"/>
    <w:link w:val="112"/>
    <w:qFormat/>
    <w:uiPriority w:val="0"/>
    <w:pPr>
      <w:spacing w:line="360" w:lineRule="auto"/>
      <w:ind w:firstLine="200" w:firstLineChars="200"/>
    </w:pPr>
    <w:rPr>
      <w:rFonts w:ascii="Times New Roman" w:hAnsi="Times New Roman" w:eastAsia="宋体" w:cs="Times New Roman"/>
      <w:sz w:val="24"/>
      <w:szCs w:val="24"/>
    </w:rPr>
  </w:style>
  <w:style w:type="character" w:customStyle="1" w:styleId="112">
    <w:name w:val="正文一 字符"/>
    <w:link w:val="111"/>
    <w:qFormat/>
    <w:uiPriority w:val="0"/>
    <w:rPr>
      <w:kern w:val="2"/>
      <w:sz w:val="24"/>
      <w:szCs w:val="24"/>
    </w:rPr>
  </w:style>
  <w:style w:type="paragraph" w:customStyle="1" w:styleId="113">
    <w:name w:val="YYH表头"/>
    <w:basedOn w:val="1"/>
    <w:link w:val="114"/>
    <w:qFormat/>
    <w:uiPriority w:val="0"/>
    <w:pPr>
      <w:jc w:val="center"/>
    </w:pPr>
    <w:rPr>
      <w:rFonts w:ascii="Times New Roman" w:hAnsi="Times New Roman" w:eastAsia="宋体"/>
      <w:b/>
      <w:sz w:val="24"/>
    </w:rPr>
  </w:style>
  <w:style w:type="character" w:customStyle="1" w:styleId="114">
    <w:name w:val="YYH表头 字符"/>
    <w:basedOn w:val="26"/>
    <w:link w:val="113"/>
    <w:qFormat/>
    <w:uiPriority w:val="0"/>
    <w:rPr>
      <w:rFonts w:cstheme="minorBidi"/>
      <w:b/>
      <w:kern w:val="2"/>
      <w:sz w:val="24"/>
      <w:szCs w:val="22"/>
    </w:rPr>
  </w:style>
  <w:style w:type="paragraph" w:customStyle="1" w:styleId="115">
    <w:name w:val="p0"/>
    <w:basedOn w:val="1"/>
    <w:qFormat/>
    <w:uiPriority w:val="0"/>
    <w:pPr>
      <w:widowControl/>
    </w:pPr>
    <w:rPr>
      <w:rFonts w:ascii="Calibri" w:hAnsi="Calibri" w:eastAsia="宋体" w:cs="宋体"/>
      <w:kern w:val="0"/>
      <w:szCs w:val="21"/>
    </w:rPr>
  </w:style>
  <w:style w:type="table" w:customStyle="1" w:styleId="116">
    <w:name w:val="Table Normal4"/>
    <w:semiHidden/>
    <w:unhideWhenUsed/>
    <w:qFormat/>
    <w:uiPriority w:val="2"/>
    <w:pPr>
      <w:widowControl w:val="0"/>
    </w:pPr>
    <w:rPr>
      <w:rFonts w:asciiTheme="minorHAnsi" w:hAnsiTheme="minorHAnsi" w:eastAsiaTheme="minorEastAsia" w:cstheme="minorBidi"/>
      <w:sz w:val="22"/>
      <w:lang w:eastAsia="en-US"/>
    </w:rPr>
    <w:tblPr>
      <w:tblCellMar>
        <w:top w:w="0" w:type="dxa"/>
        <w:left w:w="0" w:type="dxa"/>
        <w:bottom w:w="0" w:type="dxa"/>
        <w:right w:w="0" w:type="dxa"/>
      </w:tblCellMar>
    </w:tblPr>
  </w:style>
  <w:style w:type="paragraph" w:customStyle="1" w:styleId="117">
    <w:name w:val="LHW 表头"/>
    <w:basedOn w:val="1"/>
    <w:qFormat/>
    <w:uiPriority w:val="0"/>
    <w:pPr>
      <w:widowControl/>
      <w:jc w:val="center"/>
    </w:pPr>
    <w:rPr>
      <w:rFonts w:ascii="Times New Roman" w:hAnsi="Times New Roman" w:eastAsia="宋体" w:cs="Times New Roman"/>
      <w:b/>
      <w:kern w:val="0"/>
      <w:szCs w:val="24"/>
    </w:rPr>
  </w:style>
  <w:style w:type="character" w:customStyle="1" w:styleId="118">
    <w:name w:val="LHW 表格样式 字符"/>
    <w:link w:val="119"/>
    <w:qFormat/>
    <w:uiPriority w:val="0"/>
    <w:rPr>
      <w:sz w:val="21"/>
    </w:rPr>
  </w:style>
  <w:style w:type="paragraph" w:customStyle="1" w:styleId="119">
    <w:name w:val="LHW 表格样式"/>
    <w:basedOn w:val="1"/>
    <w:link w:val="118"/>
    <w:qFormat/>
    <w:uiPriority w:val="0"/>
    <w:pPr>
      <w:jc w:val="center"/>
    </w:pPr>
    <w:rPr>
      <w:rFonts w:ascii="Times New Roman" w:hAnsi="Times New Roman" w:eastAsia="宋体" w:cs="Times New Roman"/>
      <w:kern w:val="0"/>
      <w:szCs w:val="20"/>
    </w:rPr>
  </w:style>
  <w:style w:type="character" w:customStyle="1" w:styleId="120">
    <w:name w:val="标题 3 字符"/>
    <w:basedOn w:val="26"/>
    <w:link w:val="3"/>
    <w:qFormat/>
    <w:uiPriority w:val="9"/>
    <w:rPr>
      <w:rFonts w:asciiTheme="minorHAnsi" w:hAnsiTheme="minorHAnsi" w:eastAsiaTheme="minorEastAsia" w:cstheme="minorBidi"/>
      <w:b/>
      <w:bCs/>
      <w:kern w:val="2"/>
      <w:sz w:val="32"/>
      <w:szCs w:val="32"/>
    </w:rPr>
  </w:style>
</w:styles>
</file>

<file path=word/_rels/document.xml.rels><?xml version="1.0" encoding="UTF-8" standalone="yes"?>
<Relationships xmlns="http://schemas.openxmlformats.org/package/2006/relationships"><Relationship Id="rId95" Type="http://schemas.openxmlformats.org/officeDocument/2006/relationships/fontTable" Target="fontTable.xml"/><Relationship Id="rId94" Type="http://schemas.openxmlformats.org/officeDocument/2006/relationships/numbering" Target="numbering.xml"/><Relationship Id="rId93" Type="http://schemas.openxmlformats.org/officeDocument/2006/relationships/customXml" Target="../customXml/item1.xml"/><Relationship Id="rId92" Type="http://schemas.openxmlformats.org/officeDocument/2006/relationships/image" Target="media/image78.png"/><Relationship Id="rId91" Type="http://schemas.openxmlformats.org/officeDocument/2006/relationships/image" Target="media/image77.png"/><Relationship Id="rId90" Type="http://schemas.openxmlformats.org/officeDocument/2006/relationships/image" Target="media/image76.png"/><Relationship Id="rId9" Type="http://schemas.openxmlformats.org/officeDocument/2006/relationships/theme" Target="theme/theme1.xml"/><Relationship Id="rId89" Type="http://schemas.openxmlformats.org/officeDocument/2006/relationships/image" Target="media/image75.png"/><Relationship Id="rId88" Type="http://schemas.openxmlformats.org/officeDocument/2006/relationships/image" Target="media/image74.png"/><Relationship Id="rId87" Type="http://schemas.openxmlformats.org/officeDocument/2006/relationships/image" Target="media/image73.png"/><Relationship Id="rId86" Type="http://schemas.openxmlformats.org/officeDocument/2006/relationships/image" Target="media/image72.png"/><Relationship Id="rId85" Type="http://schemas.openxmlformats.org/officeDocument/2006/relationships/image" Target="media/image71.png"/><Relationship Id="rId84" Type="http://schemas.openxmlformats.org/officeDocument/2006/relationships/image" Target="media/image70.png"/><Relationship Id="rId83" Type="http://schemas.openxmlformats.org/officeDocument/2006/relationships/image" Target="media/image69.png"/><Relationship Id="rId82" Type="http://schemas.openxmlformats.org/officeDocument/2006/relationships/image" Target="media/image68.png"/><Relationship Id="rId81" Type="http://schemas.openxmlformats.org/officeDocument/2006/relationships/image" Target="media/image67.png"/><Relationship Id="rId80" Type="http://schemas.openxmlformats.org/officeDocument/2006/relationships/image" Target="media/image66.png"/><Relationship Id="rId8" Type="http://schemas.openxmlformats.org/officeDocument/2006/relationships/footer" Target="footer4.xml"/><Relationship Id="rId79" Type="http://schemas.openxmlformats.org/officeDocument/2006/relationships/image" Target="media/image65.png"/><Relationship Id="rId78" Type="http://schemas.openxmlformats.org/officeDocument/2006/relationships/image" Target="media/image64.png"/><Relationship Id="rId77" Type="http://schemas.openxmlformats.org/officeDocument/2006/relationships/image" Target="media/image63.jpeg"/><Relationship Id="rId76" Type="http://schemas.openxmlformats.org/officeDocument/2006/relationships/image" Target="media/image62.jpeg"/><Relationship Id="rId75" Type="http://schemas.openxmlformats.org/officeDocument/2006/relationships/image" Target="media/image61.jpeg"/><Relationship Id="rId74" Type="http://schemas.openxmlformats.org/officeDocument/2006/relationships/image" Target="media/image60.jpeg"/><Relationship Id="rId73" Type="http://schemas.openxmlformats.org/officeDocument/2006/relationships/image" Target="media/image59.jpeg"/><Relationship Id="rId72" Type="http://schemas.openxmlformats.org/officeDocument/2006/relationships/image" Target="media/image58.jpeg"/><Relationship Id="rId71" Type="http://schemas.openxmlformats.org/officeDocument/2006/relationships/image" Target="media/image57.jpeg"/><Relationship Id="rId70" Type="http://schemas.openxmlformats.org/officeDocument/2006/relationships/image" Target="media/image56.jpeg"/><Relationship Id="rId7" Type="http://schemas.openxmlformats.org/officeDocument/2006/relationships/footer" Target="footer3.xml"/><Relationship Id="rId69" Type="http://schemas.openxmlformats.org/officeDocument/2006/relationships/image" Target="media/image55.jpeg"/><Relationship Id="rId68" Type="http://schemas.openxmlformats.org/officeDocument/2006/relationships/image" Target="media/image54.png"/><Relationship Id="rId67" Type="http://schemas.openxmlformats.org/officeDocument/2006/relationships/image" Target="media/image53.png"/><Relationship Id="rId66" Type="http://schemas.openxmlformats.org/officeDocument/2006/relationships/image" Target="media/image52.png"/><Relationship Id="rId65" Type="http://schemas.openxmlformats.org/officeDocument/2006/relationships/image" Target="media/image51.png"/><Relationship Id="rId64" Type="http://schemas.openxmlformats.org/officeDocument/2006/relationships/image" Target="media/image50.png"/><Relationship Id="rId63" Type="http://schemas.openxmlformats.org/officeDocument/2006/relationships/image" Target="media/image49.png"/><Relationship Id="rId62" Type="http://schemas.openxmlformats.org/officeDocument/2006/relationships/image" Target="media/image48.png"/><Relationship Id="rId61" Type="http://schemas.openxmlformats.org/officeDocument/2006/relationships/image" Target="media/image47.png"/><Relationship Id="rId60" Type="http://schemas.openxmlformats.org/officeDocument/2006/relationships/image" Target="media/image46.png"/><Relationship Id="rId6" Type="http://schemas.openxmlformats.org/officeDocument/2006/relationships/footer" Target="footer2.xml"/><Relationship Id="rId59" Type="http://schemas.openxmlformats.org/officeDocument/2006/relationships/image" Target="media/image45.png"/><Relationship Id="rId58" Type="http://schemas.openxmlformats.org/officeDocument/2006/relationships/image" Target="media/image44.png"/><Relationship Id="rId57" Type="http://schemas.openxmlformats.org/officeDocument/2006/relationships/image" Target="media/image43.png"/><Relationship Id="rId56" Type="http://schemas.openxmlformats.org/officeDocument/2006/relationships/image" Target="media/image42.png"/><Relationship Id="rId55" Type="http://schemas.openxmlformats.org/officeDocument/2006/relationships/image" Target="media/image41.png"/><Relationship Id="rId54" Type="http://schemas.openxmlformats.org/officeDocument/2006/relationships/image" Target="media/image40.png"/><Relationship Id="rId53" Type="http://schemas.openxmlformats.org/officeDocument/2006/relationships/image" Target="media/image39.png"/><Relationship Id="rId52" Type="http://schemas.openxmlformats.org/officeDocument/2006/relationships/image" Target="media/image38.png"/><Relationship Id="rId51" Type="http://schemas.openxmlformats.org/officeDocument/2006/relationships/image" Target="media/image37.png"/><Relationship Id="rId50" Type="http://schemas.openxmlformats.org/officeDocument/2006/relationships/image" Target="media/image36.png"/><Relationship Id="rId5" Type="http://schemas.openxmlformats.org/officeDocument/2006/relationships/footer" Target="footer1.xml"/><Relationship Id="rId49" Type="http://schemas.openxmlformats.org/officeDocument/2006/relationships/image" Target="media/image35.jpeg"/><Relationship Id="rId48" Type="http://schemas.openxmlformats.org/officeDocument/2006/relationships/image" Target="media/image34.jpeg"/><Relationship Id="rId47" Type="http://schemas.openxmlformats.org/officeDocument/2006/relationships/image" Target="media/image33.jpeg"/><Relationship Id="rId46" Type="http://schemas.openxmlformats.org/officeDocument/2006/relationships/image" Target="media/image32.jpeg"/><Relationship Id="rId45" Type="http://schemas.openxmlformats.org/officeDocument/2006/relationships/image" Target="media/image31.png"/><Relationship Id="rId44" Type="http://schemas.openxmlformats.org/officeDocument/2006/relationships/image" Target="media/image30.png"/><Relationship Id="rId43" Type="http://schemas.openxmlformats.org/officeDocument/2006/relationships/image" Target="media/image29.jpeg"/><Relationship Id="rId42" Type="http://schemas.openxmlformats.org/officeDocument/2006/relationships/image" Target="media/image28.jpeg"/><Relationship Id="rId41" Type="http://schemas.openxmlformats.org/officeDocument/2006/relationships/image" Target="media/image27.jpeg"/><Relationship Id="rId40" Type="http://schemas.openxmlformats.org/officeDocument/2006/relationships/image" Target="media/image26.jpeg"/><Relationship Id="rId4" Type="http://schemas.openxmlformats.org/officeDocument/2006/relationships/header" Target="header2.xml"/><Relationship Id="rId39" Type="http://schemas.openxmlformats.org/officeDocument/2006/relationships/image" Target="media/image25.png"/><Relationship Id="rId38" Type="http://schemas.openxmlformats.org/officeDocument/2006/relationships/image" Target="media/image24.png"/><Relationship Id="rId37" Type="http://schemas.openxmlformats.org/officeDocument/2006/relationships/image" Target="media/image23.png"/><Relationship Id="rId36" Type="http://schemas.openxmlformats.org/officeDocument/2006/relationships/image" Target="media/image22.png"/><Relationship Id="rId35" Type="http://schemas.openxmlformats.org/officeDocument/2006/relationships/image" Target="media/image21.png"/><Relationship Id="rId34" Type="http://schemas.openxmlformats.org/officeDocument/2006/relationships/image" Target="media/image20.emf"/><Relationship Id="rId33" Type="http://schemas.openxmlformats.org/officeDocument/2006/relationships/oleObject" Target="embeddings/oleObject5.bin"/><Relationship Id="rId32" Type="http://schemas.openxmlformats.org/officeDocument/2006/relationships/image" Target="media/image19.jpeg"/><Relationship Id="rId31" Type="http://schemas.openxmlformats.org/officeDocument/2006/relationships/image" Target="media/image18.png"/><Relationship Id="rId30" Type="http://schemas.openxmlformats.org/officeDocument/2006/relationships/image" Target="media/image17.png"/><Relationship Id="rId3" Type="http://schemas.openxmlformats.org/officeDocument/2006/relationships/header" Target="header1.xml"/><Relationship Id="rId29" Type="http://schemas.openxmlformats.org/officeDocument/2006/relationships/image" Target="media/image16.png"/><Relationship Id="rId28" Type="http://schemas.openxmlformats.org/officeDocument/2006/relationships/image" Target="media/image15.png"/><Relationship Id="rId27" Type="http://schemas.openxmlformats.org/officeDocument/2006/relationships/image" Target="media/image14.png"/><Relationship Id="rId26" Type="http://schemas.openxmlformats.org/officeDocument/2006/relationships/image" Target="media/image13.png"/><Relationship Id="rId25" Type="http://schemas.openxmlformats.org/officeDocument/2006/relationships/image" Target="media/image12.png"/><Relationship Id="rId24" Type="http://schemas.openxmlformats.org/officeDocument/2006/relationships/image" Target="media/image11.png"/><Relationship Id="rId23" Type="http://schemas.openxmlformats.org/officeDocument/2006/relationships/image" Target="media/image10.png"/><Relationship Id="rId22" Type="http://schemas.openxmlformats.org/officeDocument/2006/relationships/image" Target="media/image9.png"/><Relationship Id="rId21" Type="http://schemas.openxmlformats.org/officeDocument/2006/relationships/image" Target="media/image8.png"/><Relationship Id="rId20" Type="http://schemas.openxmlformats.org/officeDocument/2006/relationships/image" Target="media/image7.jpeg"/><Relationship Id="rId2" Type="http://schemas.openxmlformats.org/officeDocument/2006/relationships/settings" Target="settings.xml"/><Relationship Id="rId19" Type="http://schemas.openxmlformats.org/officeDocument/2006/relationships/image" Target="media/image6.png"/><Relationship Id="rId18" Type="http://schemas.openxmlformats.org/officeDocument/2006/relationships/image" Target="media/image5.emf"/><Relationship Id="rId17" Type="http://schemas.openxmlformats.org/officeDocument/2006/relationships/oleObject" Target="embeddings/oleObject4.bin"/><Relationship Id="rId16" Type="http://schemas.openxmlformats.org/officeDocument/2006/relationships/image" Target="media/image4.emf"/><Relationship Id="rId15" Type="http://schemas.openxmlformats.org/officeDocument/2006/relationships/oleObject" Target="embeddings/oleObject3.bin"/><Relationship Id="rId14" Type="http://schemas.openxmlformats.org/officeDocument/2006/relationships/image" Target="media/image3.emf"/><Relationship Id="rId13" Type="http://schemas.openxmlformats.org/officeDocument/2006/relationships/oleObject" Target="embeddings/oleObject2.bin"/><Relationship Id="rId12" Type="http://schemas.openxmlformats.org/officeDocument/2006/relationships/image" Target="media/image2.emf"/><Relationship Id="rId11" Type="http://schemas.openxmlformats.org/officeDocument/2006/relationships/oleObject" Target="embeddings/oleObject1.bin"/><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false"/>
        </a:gradFill>
        <a:gradFill rotWithShape="true">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false"/>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110</Pages>
  <Words>5494</Words>
  <Characters>31316</Characters>
  <Lines>260</Lines>
  <Paragraphs>73</Paragraphs>
  <TotalTime>0</TotalTime>
  <ScaleCrop>false</ScaleCrop>
  <LinksUpToDate>false</LinksUpToDate>
  <CharactersWithSpaces>36737</CharactersWithSpaces>
  <Application>WPS Office_11.8.2.10386_F1E327BC-269C-435d-A152-05C5408002CA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2025-10-30T02:25:00Z</dcterms:created>
  <dc:creator>84285</dc:creator>
  <cp:lastModifiedBy>greatwall</cp:lastModifiedBy>
  <cp:lastPrinted>2025-10-30T07:09:00Z</cp:lastPrinted>
  <dcterms:modified xsi:type="dcterms:W3CDTF">2025-12-05T17:03:02Z</dcterms:modified>
  <cp:revision>26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2052-11.8.2.10386</vt:lpwstr>
  </property>
  <property fmtid="{D5CDD505-2E9C-101B-9397-08002B2CF9AE}" pid="3" name="ICV">
    <vt:lpwstr>7A4AACD621F94F3F80891BE623E43680_13</vt:lpwstr>
  </property>
</Properties>
</file>