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6F9006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mc:AlternateContent>
        <mc:Choice Requires="wpsCustomData">
          <wpsCustomData:docfieldStart id="0" docfieldname="标题" hidden="0" print="1" readonly="0" index="2"/>
        </mc:Choice>
      </mc:AlternateContent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鄂尔多斯市生态环境局</w:t>
      </w:r>
    </w:p>
    <w:p w14:paraId="6D846D8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关于</w:t>
      </w:r>
      <w:r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220千伏劲松变电站110千伏间隔</w:t>
      </w:r>
    </w:p>
    <w:p w14:paraId="36A8DBF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扩建工程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（</w:t>
      </w:r>
      <w:r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伊泰塔拉壕煤矿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）建设</w:t>
      </w:r>
    </w:p>
    <w:p w14:paraId="180A8B0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项目环境影响报告表的批复</w:t>
      </w:r>
    </w:p>
    <w:p w14:paraId="3762E36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/>
          <w:kern w:val="2"/>
          <w:sz w:val="32"/>
          <w:szCs w:val="32"/>
          <w:lang w:val="en-US" w:eastAsia="zh-CN" w:bidi="ar-SA"/>
        </w:rPr>
      </w:pPr>
    </w:p>
    <w:p w14:paraId="1868D38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鄂环（辐）表〔2025〕18号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主送单位" hidden="0" print="1" readonly="0" index="3"/>
        </mc:Choice>
      </mc:AlternateContent>
      <w:bookmarkStart w:id="0" w:name="主送单位"/>
      <w:bookmarkEnd w:id="0"/>
    </w:p>
    <w:p w14:paraId="1EF9715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59508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内蒙古电力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集团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有限责任公司鄂尔多斯供电分公司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mc:AlternateContent>
      <mc:Choice Requires="wpsCustomData">
        <wpsCustomData:docfieldEnd id="1"/>
      </mc:Choice>
    </mc:AlternateContent>
    <w:p w14:paraId="1EB4C9D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1" w:name="正文文件"/>
      <w:bookmarkEnd w:id="1"/>
      <mc:AlternateContent>
        <mc:Choice Requires="wpsCustomData">
          <wpsCustomData:docfieldStart id="2" docfieldname="正文文件" hidden="0" print="1" readonly="0" index="4"/>
        </mc:Choice>
      </mc:AlternateContent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你公司报送的《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220千伏劲松变电站110千伏间隔扩建工程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伊泰塔拉壕煤矿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）建设项目环境影响报告表》（以下简称《报告表》）已收悉。经研究，批复如下：</w:t>
      </w:r>
    </w:p>
    <w:p w14:paraId="57CF6B9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 w:bidi="ar-SA"/>
        </w:rPr>
        <w:t>一、项目建设基本情况</w:t>
      </w:r>
    </w:p>
    <w:p w14:paraId="3DDFC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2" w:name="OLE_LINK37"/>
      <w:bookmarkStart w:id="3" w:name="_Hlk99271176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本项目为220kV变电站110kV间隔扩建工程，位于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内蒙古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自治区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鄂尔多斯市东胜区铜川镇境内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本项目建设主要服务于塔拉壕煤矿，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塔拉壕煤矿产能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增至1200万吨/年，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保障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煤矿的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安全生产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本项目的建设，缩短塔拉壕煤矿供电线路长度，同时提高供电电压等级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供电质量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降低线路损耗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，为塔拉壕煤矿后续增产提供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可靠电能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，促进当地资源合理配置，对推动当地煤矿业及社会经济进一步发展有着重要的作用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。项目建设内容包括：</w:t>
      </w:r>
    </w:p>
    <w:bookmarkEnd w:id="2"/>
    <w:bookmarkEnd w:id="3"/>
    <w:p w14:paraId="5B07AA0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（一）劲松220kV变电站现有工程规模</w:t>
      </w:r>
    </w:p>
    <w:p w14:paraId="5DC8A51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劲松变电站为全户内站，变电站现已建设2×180MVA变压器，电压等级为220/110/35kV。220kV系统电气主接线为双母线接线型式，220kV进出线已建设4回（架空线路方式出线），110kV进出线已建设3回（电缆方式出线）。变电站已配套建设了80m</w:t>
      </w:r>
      <w:r>
        <w:rPr>
          <w:rFonts w:hint="default" w:ascii="仿宋" w:hAnsi="仿宋" w:eastAsia="仿宋" w:cs="仿宋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的事故油池1座，配套的事故油池容积可以满足单台主变的全部油量。站内配套建设了化粪池1座（12m</w:t>
      </w:r>
      <w:r>
        <w:rPr>
          <w:rFonts w:hint="default" w:ascii="仿宋" w:hAnsi="仿宋" w:eastAsia="仿宋" w:cs="仿宋"/>
          <w:sz w:val="32"/>
          <w:szCs w:val="32"/>
          <w:vertAlign w:val="superscript"/>
          <w:lang w:val="en-US" w:eastAsia="zh-CN"/>
        </w:rPr>
        <w:t>3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），站内值班人员的生活污水经化粪池处理后，排入当地污水管网，不外排。生活垃圾集中收集，并定期清运至环卫部门指定地点；废旧蓄电池由有资质的厂家在更换电池时回收处置，废旧蓄电池不在站内存放。变电站站内道路采用水泥硬化，主控楼周边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其余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空余区域采用环保砖硬化。主变及配电设施全部布置在户内，站内无裸露土地。</w:t>
      </w:r>
    </w:p>
    <w:p w14:paraId="71199F9E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（二）劲松220kV变电站本期工程规模</w:t>
      </w:r>
    </w:p>
    <w:p w14:paraId="381631C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本期在劲松220kV变电站新建110kV出线间隔2回（至塔拉壕110kV用户变电站），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劲松220kV变电站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站内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110kV侧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已预留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南起第1、2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处位置，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采用全户内形式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，地埋电缆出线。本次利用该预留位置扩建间隔，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不新增用地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5A1EA6D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 w:eastAsia="zh-CN" w:bidi="ar-SA"/>
        </w:rPr>
        <w:t>二、总体意见</w:t>
      </w:r>
    </w:p>
    <w:p w14:paraId="2302500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本项目在严格落实《报告表》提出的各项环境保护措施后，对环境的不利影响和可能存在的环境风险在可控范围内。从环境保护角度分析，我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局</w:t>
      </w:r>
      <w:r>
        <w:rPr>
          <w:rFonts w:hint="eastAsia" w:ascii="仿宋" w:hAnsi="仿宋" w:eastAsia="仿宋" w:cs="仿宋"/>
          <w:sz w:val="32"/>
          <w:szCs w:val="32"/>
        </w:rPr>
        <w:t>原则同意本项目按照《报告表》中所列的性质、规模、地点和拟采取的环保措施进行建设。</w:t>
      </w:r>
    </w:p>
    <w:p w14:paraId="6B99697B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zh-CN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zh-CN" w:eastAsia="zh-CN" w:bidi="ar-SA"/>
        </w:rPr>
        <w:t>三、项目建设及运行期间应做好的工作</w:t>
      </w:r>
    </w:p>
    <w:p w14:paraId="2C6C615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（一）严格落实项目施工期、运营期生态环境保护措施，做好生态保护工作。施工期严格控制施工活动范围，合理布局，尽量减少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对周围生态环境的影响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6AEE3B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（二）认真落实《报告表》中提出的控制和改善工频电场、工频磁场对周边环境影响的措施和方法，监测值应符合《电磁环境控制限值》（GB8702-2014）要求。</w:t>
      </w:r>
    </w:p>
    <w:p w14:paraId="562E070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（三）项目施工期及运行期的噪声值及防噪措施应满足《报告表》中提出的要求，监测值应符合国家评价标准限值要求。</w:t>
      </w:r>
    </w:p>
    <w:p w14:paraId="1E3F752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项目开工建设中发现地下古遗迹现象请立即停工，严格按照相关法律法规程序，对地下文物进行保护，并对相关管理部门报备。</w:t>
      </w:r>
    </w:p>
    <w:p w14:paraId="163B77B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）环境影响报告表经批准后，项目的性质、规模、地点或生态保护、污染防治措施发生重大变动的，应当按要求重新报批。</w:t>
      </w:r>
    </w:p>
    <w:p w14:paraId="025CD982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建设单位按规定程序完成竣工环境保护验收后，项目方可投入正式运行。</w:t>
      </w:r>
    </w:p>
    <w:p w14:paraId="5E83A0E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（七）由东胜区分局负责项目建设期间的日常监督管理工作。</w:t>
      </w:r>
    </w:p>
    <w:p w14:paraId="7EC282C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mc:AlternateContent>
      <mc:Choice Requires="wpsCustomData">
        <wpsCustomData:docfieldEnd id="2"/>
      </mc:Choice>
    </mc:AlternateContent>
    <w:p w14:paraId="266F37C9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FD9309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鄂尔多斯市生态环境局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</w:p>
    <w:p w14:paraId="1BA3E147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bookmarkStart w:id="4" w:name="签发日期"/>
      <w:bookmarkEnd w:id="4"/>
      <mc:AlternateContent>
        <mc:Choice Requires="wpsCustomData">
          <wpsCustomData:docfieldStart id="3" docfieldname="签发日期" hidden="0" print="1" readonly="0" index="5"/>
        </mc:Choice>
      </mc:AlternateContent>
      <w:r>
        <w:rPr>
          <w:rFonts w:hint="eastAsia" w:ascii="仿宋" w:hAnsi="仿宋" w:eastAsia="仿宋" w:cs="仿宋"/>
          <w:sz w:val="32"/>
          <w:szCs w:val="32"/>
          <w:lang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bookmarkStart w:id="5" w:name="_GoBack"/>
      <w:bookmarkEnd w:id="5"/>
      <w:r>
        <w:rPr>
          <w:rFonts w:hint="eastAsia" w:ascii="仿宋" w:hAnsi="仿宋" w:eastAsia="仿宋" w:cs="仿宋"/>
          <w:sz w:val="32"/>
          <w:szCs w:val="32"/>
          <w:lang w:eastAsia="zh-CN"/>
        </w:rPr>
        <w:t>日</w:t>
      </w:r>
      <mc:AlternateContent>
        <mc:Choice Requires="wpsCustomData">
          <wpsCustomData:docfieldEnd id="3"/>
        </mc:Choice>
      </mc:AlternateContent>
    </w:p>
    <w:p w14:paraId="7C032424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type w:val="continuous"/>
      <w:pgSz w:w="11907" w:h="16840"/>
      <w:pgMar w:top="2041" w:right="1531" w:bottom="2041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46AA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3E4E3A2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vert="horz" wrap="none" lIns="203200" tIns="0" rIns="20320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GRw2zRAAAA&#10;BQEAAA8AAAAAAAAAAQAgAAAAIgAAAGRycy9kb3ducmV2LnhtbFBLAQIUABQAAAAIAIdO4kAAiYqd&#10;6wEAANIDAAAOAAAAAAAAAAEAIAAAACABAABkcnMvZTJvRG9jLnhtbFBLBQYAAAAABgAGAFkBAAB9&#10;BQAAAAA=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33E4E3A2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5192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18ADA92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-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-</w:t>
                          </w:r>
                        </w:p>
                      </w:txbxContent>
                    </wps:txbx>
                    <wps:bodyPr vert="horz" wrap="none" lIns="203200" tIns="0" rIns="20320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RkcNs0QAA&#10;AAUBAAAPAAAAAAAAAAEAIAAAACIAAABkcnMvZG93bnJldi54bWxQSwECFAAUAAAACACHTuJAQRB3&#10;6ewBAADSAwAADgAAAAAAAAABACAAAAAgAQAAZHJzL2Uyb0RvYy54bWxQSwUGAAAAAAYABgBZAQAA&#10;fgUAAAAA&#10;">
              <v:fill on="f" focussize="0,0"/>
              <v:stroke on="f" weight="1.25pt"/>
              <v:imagedata o:title=""/>
              <o:lock v:ext="edit" aspectratio="f"/>
              <v:textbox inset="16pt,0mm,16pt,0mm" style="mso-fit-shape-to-text:t;">
                <w:txbxContent>
                  <w:p w14:paraId="418ADA92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-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D31F1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E364C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E24C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C507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01"/>
    <w:rsid w:val="000502D9"/>
    <w:rsid w:val="00053C74"/>
    <w:rsid w:val="00081DD9"/>
    <w:rsid w:val="000A43C9"/>
    <w:rsid w:val="000F448F"/>
    <w:rsid w:val="00104AD5"/>
    <w:rsid w:val="00107F1D"/>
    <w:rsid w:val="00112653"/>
    <w:rsid w:val="00161599"/>
    <w:rsid w:val="0019160D"/>
    <w:rsid w:val="00212159"/>
    <w:rsid w:val="002203D3"/>
    <w:rsid w:val="002432A7"/>
    <w:rsid w:val="002778D8"/>
    <w:rsid w:val="00290DA8"/>
    <w:rsid w:val="002B7D95"/>
    <w:rsid w:val="002D6AFC"/>
    <w:rsid w:val="002F0DE2"/>
    <w:rsid w:val="0030486D"/>
    <w:rsid w:val="00323B61"/>
    <w:rsid w:val="003619FA"/>
    <w:rsid w:val="00393E71"/>
    <w:rsid w:val="003B1A02"/>
    <w:rsid w:val="003C6CE9"/>
    <w:rsid w:val="00424C6E"/>
    <w:rsid w:val="00452E4A"/>
    <w:rsid w:val="004B7461"/>
    <w:rsid w:val="004C640A"/>
    <w:rsid w:val="004D3FC2"/>
    <w:rsid w:val="004F50C6"/>
    <w:rsid w:val="00505381"/>
    <w:rsid w:val="00544386"/>
    <w:rsid w:val="0056424C"/>
    <w:rsid w:val="0057112D"/>
    <w:rsid w:val="00571F6F"/>
    <w:rsid w:val="00577293"/>
    <w:rsid w:val="0058220B"/>
    <w:rsid w:val="00585C83"/>
    <w:rsid w:val="00590474"/>
    <w:rsid w:val="00592CC9"/>
    <w:rsid w:val="005A5BF2"/>
    <w:rsid w:val="006132A1"/>
    <w:rsid w:val="00624B4A"/>
    <w:rsid w:val="006661A4"/>
    <w:rsid w:val="006A7884"/>
    <w:rsid w:val="006B38F9"/>
    <w:rsid w:val="006E1CA5"/>
    <w:rsid w:val="006E2329"/>
    <w:rsid w:val="006F6255"/>
    <w:rsid w:val="00701535"/>
    <w:rsid w:val="0070579B"/>
    <w:rsid w:val="00715743"/>
    <w:rsid w:val="007173A8"/>
    <w:rsid w:val="00761FB3"/>
    <w:rsid w:val="0076589A"/>
    <w:rsid w:val="00786B2F"/>
    <w:rsid w:val="007925F1"/>
    <w:rsid w:val="0079344F"/>
    <w:rsid w:val="007A1610"/>
    <w:rsid w:val="007C0101"/>
    <w:rsid w:val="007D373D"/>
    <w:rsid w:val="00835942"/>
    <w:rsid w:val="00847C4B"/>
    <w:rsid w:val="00861920"/>
    <w:rsid w:val="008643C3"/>
    <w:rsid w:val="00873CD5"/>
    <w:rsid w:val="008804D9"/>
    <w:rsid w:val="008838C5"/>
    <w:rsid w:val="00883BA1"/>
    <w:rsid w:val="0089055A"/>
    <w:rsid w:val="00896DE4"/>
    <w:rsid w:val="008A4595"/>
    <w:rsid w:val="008B77EC"/>
    <w:rsid w:val="008C34AF"/>
    <w:rsid w:val="008D27CA"/>
    <w:rsid w:val="00907606"/>
    <w:rsid w:val="00922F9C"/>
    <w:rsid w:val="0095741D"/>
    <w:rsid w:val="00964200"/>
    <w:rsid w:val="0096751F"/>
    <w:rsid w:val="00967FB8"/>
    <w:rsid w:val="00971513"/>
    <w:rsid w:val="0099392B"/>
    <w:rsid w:val="009950F5"/>
    <w:rsid w:val="00996316"/>
    <w:rsid w:val="009F0D7E"/>
    <w:rsid w:val="009F4F97"/>
    <w:rsid w:val="00A03E70"/>
    <w:rsid w:val="00A14283"/>
    <w:rsid w:val="00A16266"/>
    <w:rsid w:val="00A32DBE"/>
    <w:rsid w:val="00A3438E"/>
    <w:rsid w:val="00A36EAB"/>
    <w:rsid w:val="00A42722"/>
    <w:rsid w:val="00A43C93"/>
    <w:rsid w:val="00AA5ECB"/>
    <w:rsid w:val="00AF257E"/>
    <w:rsid w:val="00B057C0"/>
    <w:rsid w:val="00B16355"/>
    <w:rsid w:val="00B22816"/>
    <w:rsid w:val="00B2798A"/>
    <w:rsid w:val="00B4476C"/>
    <w:rsid w:val="00B46191"/>
    <w:rsid w:val="00B61218"/>
    <w:rsid w:val="00B86149"/>
    <w:rsid w:val="00B91AFD"/>
    <w:rsid w:val="00BA1A77"/>
    <w:rsid w:val="00BA3600"/>
    <w:rsid w:val="00BD25C9"/>
    <w:rsid w:val="00BD4473"/>
    <w:rsid w:val="00BE3516"/>
    <w:rsid w:val="00BE5282"/>
    <w:rsid w:val="00BF428E"/>
    <w:rsid w:val="00BF6CDF"/>
    <w:rsid w:val="00C113FC"/>
    <w:rsid w:val="00C26472"/>
    <w:rsid w:val="00C51E40"/>
    <w:rsid w:val="00C56BFB"/>
    <w:rsid w:val="00C577B3"/>
    <w:rsid w:val="00C621D4"/>
    <w:rsid w:val="00C746BE"/>
    <w:rsid w:val="00C85C1B"/>
    <w:rsid w:val="00C93108"/>
    <w:rsid w:val="00CA6FED"/>
    <w:rsid w:val="00CD05D4"/>
    <w:rsid w:val="00CE37E8"/>
    <w:rsid w:val="00CE5F3B"/>
    <w:rsid w:val="00CE6186"/>
    <w:rsid w:val="00CF1A19"/>
    <w:rsid w:val="00CF24AC"/>
    <w:rsid w:val="00D01418"/>
    <w:rsid w:val="00D04066"/>
    <w:rsid w:val="00D32923"/>
    <w:rsid w:val="00D50FC8"/>
    <w:rsid w:val="00D80399"/>
    <w:rsid w:val="00D809A3"/>
    <w:rsid w:val="00D902CF"/>
    <w:rsid w:val="00D94E37"/>
    <w:rsid w:val="00DC1210"/>
    <w:rsid w:val="00DC440E"/>
    <w:rsid w:val="00DD67D3"/>
    <w:rsid w:val="00E012C8"/>
    <w:rsid w:val="00E157E5"/>
    <w:rsid w:val="00E50C21"/>
    <w:rsid w:val="00E62075"/>
    <w:rsid w:val="00E7161E"/>
    <w:rsid w:val="00E7452B"/>
    <w:rsid w:val="00E90476"/>
    <w:rsid w:val="00EB0809"/>
    <w:rsid w:val="00EE242A"/>
    <w:rsid w:val="00F06195"/>
    <w:rsid w:val="00F2401B"/>
    <w:rsid w:val="00F373F3"/>
    <w:rsid w:val="00F556D9"/>
    <w:rsid w:val="00FC281C"/>
    <w:rsid w:val="00FF0974"/>
    <w:rsid w:val="01067184"/>
    <w:rsid w:val="01283F97"/>
    <w:rsid w:val="02034156"/>
    <w:rsid w:val="035D2B78"/>
    <w:rsid w:val="03696E5B"/>
    <w:rsid w:val="03EA6B8D"/>
    <w:rsid w:val="04AF3D28"/>
    <w:rsid w:val="053578FC"/>
    <w:rsid w:val="06414C48"/>
    <w:rsid w:val="06FD2E81"/>
    <w:rsid w:val="0743018D"/>
    <w:rsid w:val="078C4B32"/>
    <w:rsid w:val="08474566"/>
    <w:rsid w:val="0A8B20E0"/>
    <w:rsid w:val="0C293B57"/>
    <w:rsid w:val="0E4627D6"/>
    <w:rsid w:val="0E6E5343"/>
    <w:rsid w:val="0FF01CE2"/>
    <w:rsid w:val="11DB31C3"/>
    <w:rsid w:val="125A4F9B"/>
    <w:rsid w:val="14C12B04"/>
    <w:rsid w:val="166710AD"/>
    <w:rsid w:val="171D0934"/>
    <w:rsid w:val="1750305B"/>
    <w:rsid w:val="17BE3596"/>
    <w:rsid w:val="17CC3694"/>
    <w:rsid w:val="18BF59B2"/>
    <w:rsid w:val="197D6DF6"/>
    <w:rsid w:val="1A6C3968"/>
    <w:rsid w:val="1C3B00DC"/>
    <w:rsid w:val="1EC02023"/>
    <w:rsid w:val="1ED972F6"/>
    <w:rsid w:val="201A69CD"/>
    <w:rsid w:val="20A91A11"/>
    <w:rsid w:val="21945992"/>
    <w:rsid w:val="21C84299"/>
    <w:rsid w:val="22904BBD"/>
    <w:rsid w:val="22DA3E1D"/>
    <w:rsid w:val="22E553D9"/>
    <w:rsid w:val="238A2596"/>
    <w:rsid w:val="24A86E33"/>
    <w:rsid w:val="251E1B7F"/>
    <w:rsid w:val="259B6FBE"/>
    <w:rsid w:val="25FA62CC"/>
    <w:rsid w:val="260639A5"/>
    <w:rsid w:val="274C467D"/>
    <w:rsid w:val="28044EC3"/>
    <w:rsid w:val="293C7576"/>
    <w:rsid w:val="2A4C74AD"/>
    <w:rsid w:val="2C0E7A95"/>
    <w:rsid w:val="2D3E0262"/>
    <w:rsid w:val="2F273069"/>
    <w:rsid w:val="3078340E"/>
    <w:rsid w:val="347100A1"/>
    <w:rsid w:val="375319D6"/>
    <w:rsid w:val="377E1867"/>
    <w:rsid w:val="39077E02"/>
    <w:rsid w:val="39237490"/>
    <w:rsid w:val="3B5419C2"/>
    <w:rsid w:val="3C032EFE"/>
    <w:rsid w:val="3C431296"/>
    <w:rsid w:val="3D997D89"/>
    <w:rsid w:val="3F011C59"/>
    <w:rsid w:val="40DE7A76"/>
    <w:rsid w:val="41E57898"/>
    <w:rsid w:val="43BE5DA5"/>
    <w:rsid w:val="446C7743"/>
    <w:rsid w:val="45091187"/>
    <w:rsid w:val="45524220"/>
    <w:rsid w:val="48D80B0B"/>
    <w:rsid w:val="4955784C"/>
    <w:rsid w:val="497512E9"/>
    <w:rsid w:val="4DE87555"/>
    <w:rsid w:val="4E08718E"/>
    <w:rsid w:val="4E573A0C"/>
    <w:rsid w:val="500F600B"/>
    <w:rsid w:val="506432B6"/>
    <w:rsid w:val="52D72F1B"/>
    <w:rsid w:val="53A44DA4"/>
    <w:rsid w:val="55BA08E6"/>
    <w:rsid w:val="56354618"/>
    <w:rsid w:val="56770825"/>
    <w:rsid w:val="56B776E3"/>
    <w:rsid w:val="56CC16FF"/>
    <w:rsid w:val="58CA2C35"/>
    <w:rsid w:val="5A0A5B88"/>
    <w:rsid w:val="5A2A1A16"/>
    <w:rsid w:val="5A6A257E"/>
    <w:rsid w:val="5D9131BE"/>
    <w:rsid w:val="5E2A6A47"/>
    <w:rsid w:val="5F001B36"/>
    <w:rsid w:val="5F0D4001"/>
    <w:rsid w:val="610B5ACF"/>
    <w:rsid w:val="615D0E52"/>
    <w:rsid w:val="622C3B53"/>
    <w:rsid w:val="625C4B72"/>
    <w:rsid w:val="63AD43A2"/>
    <w:rsid w:val="647C4CF5"/>
    <w:rsid w:val="64B557C6"/>
    <w:rsid w:val="653806B8"/>
    <w:rsid w:val="67C12074"/>
    <w:rsid w:val="67CD23C4"/>
    <w:rsid w:val="68AC3246"/>
    <w:rsid w:val="68F668C7"/>
    <w:rsid w:val="69EE13C7"/>
    <w:rsid w:val="6A0056F8"/>
    <w:rsid w:val="6A9579E6"/>
    <w:rsid w:val="6BFF1513"/>
    <w:rsid w:val="6C5D38C7"/>
    <w:rsid w:val="6E083062"/>
    <w:rsid w:val="6E0A6B18"/>
    <w:rsid w:val="6E401570"/>
    <w:rsid w:val="70FA112C"/>
    <w:rsid w:val="71D96AFD"/>
    <w:rsid w:val="72536B1A"/>
    <w:rsid w:val="735242FF"/>
    <w:rsid w:val="73942F17"/>
    <w:rsid w:val="73945316"/>
    <w:rsid w:val="73ED7448"/>
    <w:rsid w:val="73FF04CC"/>
    <w:rsid w:val="751E2030"/>
    <w:rsid w:val="75596A9F"/>
    <w:rsid w:val="77B43AFA"/>
    <w:rsid w:val="77E77440"/>
    <w:rsid w:val="7BE16A25"/>
    <w:rsid w:val="7BFF4D51"/>
    <w:rsid w:val="7C67564F"/>
    <w:rsid w:val="7D3E6257"/>
    <w:rsid w:val="7D6F7921"/>
    <w:rsid w:val="7D754DCD"/>
    <w:rsid w:val="7E705781"/>
    <w:rsid w:val="7EE00A44"/>
    <w:rsid w:val="B3BE18E7"/>
    <w:rsid w:val="BFBF9460"/>
    <w:rsid w:val="DDDD7497"/>
    <w:rsid w:val="DF4FEC23"/>
    <w:rsid w:val="F7FFB738"/>
    <w:rsid w:val="FED44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Subtitle"/>
    <w:basedOn w:val="1"/>
    <w:next w:val="1"/>
    <w:qFormat/>
    <w:uiPriority w:val="0"/>
    <w:pPr>
      <w:spacing w:line="312" w:lineRule="auto"/>
      <w:ind w:firstLine="0" w:firstLineChars="0"/>
      <w:jc w:val="left"/>
      <w:outlineLvl w:val="1"/>
    </w:pPr>
    <w:rPr>
      <w:rFonts w:cs="Times New Roman"/>
      <w:b/>
      <w:bCs/>
      <w:kern w:val="28"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annotation reference"/>
    <w:semiHidden/>
    <w:qFormat/>
    <w:uiPriority w:val="0"/>
    <w:rPr>
      <w:sz w:val="21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6"/>
    <w:semiHidden/>
    <w:qFormat/>
    <w:uiPriority w:val="99"/>
    <w:rPr>
      <w:sz w:val="18"/>
      <w:szCs w:val="18"/>
    </w:rPr>
  </w:style>
  <w:style w:type="character" w:customStyle="1" w:styleId="17">
    <w:name w:val="页眉 Char"/>
    <w:link w:val="7"/>
    <w:semiHidden/>
    <w:qFormat/>
    <w:uiPriority w:val="99"/>
    <w:rPr>
      <w:sz w:val="18"/>
      <w:szCs w:val="18"/>
    </w:rPr>
  </w:style>
  <w:style w:type="paragraph" w:customStyle="1" w:styleId="18">
    <w:name w:val="zw"/>
    <w:basedOn w:val="1"/>
    <w:semiHidden/>
    <w:qFormat/>
    <w:uiPriority w:val="0"/>
    <w:pPr>
      <w:shd w:val="clear" w:color="auto" w:fill="FFFFFF"/>
      <w:adjustRightInd w:val="0"/>
      <w:snapToGrid w:val="0"/>
      <w:ind w:firstLine="480" w:firstLineChars="0"/>
    </w:pPr>
    <w:rPr>
      <w:kern w:val="0"/>
      <w:szCs w:val="24"/>
    </w:rPr>
  </w:style>
  <w:style w:type="paragraph" w:customStyle="1" w:styleId="19">
    <w:name w:val="6"/>
    <w:basedOn w:val="1"/>
    <w:next w:val="3"/>
    <w:qFormat/>
    <w:uiPriority w:val="0"/>
    <w:pPr>
      <w:widowControl/>
      <w:spacing w:line="440" w:lineRule="exact"/>
      <w:ind w:firstLine="527"/>
      <w:jc w:val="left"/>
    </w:pPr>
    <w:rPr>
      <w:rFonts w:ascii="宋体" w:hAnsi="宋体" w:cs="宋体"/>
      <w:kern w:val="0"/>
      <w:sz w:val="2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paragraph" w:customStyle="1" w:styleId="21">
    <w:name w:val="[1]正文"/>
    <w:basedOn w:val="1"/>
    <w:qFormat/>
    <w:uiPriority w:val="0"/>
    <w:pPr>
      <w:autoSpaceDE w:val="0"/>
      <w:autoSpaceDN w:val="0"/>
      <w:ind w:left="0" w:leftChars="0" w:firstLine="200" w:firstLineChars="200"/>
    </w:pPr>
    <w:rPr>
      <w:rFonts w:ascii="Times New Roman" w:hAnsi="Times New Roman"/>
      <w:color w:val="000000"/>
      <w:kern w:val="0"/>
      <w:szCs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Foundertech</Company>
  <Pages>4</Pages>
  <Words>1446</Words>
  <Characters>1572</Characters>
  <Lines>1</Lines>
  <Paragraphs>1</Paragraphs>
  <TotalTime>4</TotalTime>
  <ScaleCrop>false</ScaleCrop>
  <LinksUpToDate>false</LinksUpToDate>
  <CharactersWithSpaces>1633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2021-10-25T21:08:00Z</dcterms:created>
  <dc:creator>袁迎辉</dc:creator>
  <cp:lastModifiedBy>ilh</cp:lastModifiedBy>
  <cp:lastPrinted>2018-11-14T17:34:00Z</cp:lastPrinted>
  <dcterms:modified xsi:type="dcterms:W3CDTF">2025-12-24T07:24:19Z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eyJoZGlkIjoiMzE0NzBjNzQyNzUyYjQxZGQ5ZGQxYjY3MmI4M2JlNzUiLCJ1c2VySWQiOiIzMTg2NzYwMjYifQ==</vt:lpwstr>
  </property>
  <property fmtid="{D5CDD505-2E9C-101B-9397-08002B2CF9AE}" pid="4" name="ICV">
    <vt:lpwstr>B7942918A2464DB4B5919D7F39CED4A0_13</vt:lpwstr>
  </property>
</Properties>
</file>