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F90066">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mc:AlternateContent>
        <mc:Choice Requires="wpsCustomData">
          <wpsCustomData:docfieldStart id="0" docfieldname="标题" hidden="0" print="1" readonly="0" index="2"/>
        </mc:Choice>
      </mc:AlternateContent>
      <w:r>
        <w:rPr>
          <w:rFonts w:hint="eastAsia" w:asciiTheme="majorEastAsia" w:hAnsiTheme="majorEastAsia" w:eastAsiaTheme="majorEastAsia" w:cstheme="majorEastAsia"/>
          <w:b/>
          <w:bCs/>
          <w:sz w:val="44"/>
          <w:szCs w:val="44"/>
          <w:lang w:eastAsia="zh-CN"/>
        </w:rPr>
        <w:t>鄂尔多斯市生态环境局</w:t>
      </w:r>
    </w:p>
    <w:p w14:paraId="7EB603C5">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eastAsia="zh-CN"/>
        </w:rPr>
        <w:t>关于</w:t>
      </w:r>
      <w:r>
        <w:rPr>
          <w:rFonts w:hint="eastAsia" w:asciiTheme="majorEastAsia" w:hAnsiTheme="majorEastAsia" w:eastAsiaTheme="majorEastAsia" w:cstheme="majorEastAsia"/>
          <w:b/>
          <w:bCs/>
          <w:sz w:val="44"/>
          <w:szCs w:val="44"/>
          <w:lang w:val="en-US" w:eastAsia="zh-CN"/>
        </w:rPr>
        <w:t>苏布尔嘎煤炭开发有限责任公司110</w:t>
      </w:r>
    </w:p>
    <w:p w14:paraId="24287003">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千伏供电线路工程</w:t>
      </w:r>
      <w:r>
        <w:rPr>
          <w:rFonts w:hint="eastAsia" w:asciiTheme="majorEastAsia" w:hAnsiTheme="majorEastAsia" w:eastAsiaTheme="majorEastAsia" w:cstheme="majorEastAsia"/>
          <w:b/>
          <w:bCs/>
          <w:sz w:val="44"/>
          <w:szCs w:val="44"/>
          <w:lang w:eastAsia="zh-CN"/>
        </w:rPr>
        <w:t>建设项目环境</w:t>
      </w:r>
    </w:p>
    <w:p w14:paraId="180A8B0E">
      <w:pPr>
        <w:keepNext w:val="0"/>
        <w:keepLines w:val="0"/>
        <w:pageBreakBefore w:val="0"/>
        <w:kinsoku/>
        <w:wordWrap/>
        <w:overflowPunct/>
        <w:topLinePunct w:val="0"/>
        <w:bidi w:val="0"/>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影响报告表的批复</w:t>
      </w:r>
    </w:p>
    <w:p w14:paraId="3762E36F">
      <w:pPr>
        <w:keepNext w:val="0"/>
        <w:keepLines w:val="0"/>
        <w:pageBreakBefore w:val="0"/>
        <w:kinsoku/>
        <w:wordWrap/>
        <w:overflowPunct/>
        <w:topLinePunct w:val="0"/>
        <w:bidi w:val="0"/>
        <w:snapToGrid/>
        <w:spacing w:line="560" w:lineRule="exact"/>
        <w:ind w:firstLine="640" w:firstLineChars="200"/>
        <w:jc w:val="center"/>
        <w:textAlignment w:val="auto"/>
        <w:rPr>
          <w:rFonts w:hint="eastAsia" w:ascii="仿宋" w:hAnsi="仿宋" w:eastAsia="仿宋" w:cs="仿宋"/>
          <w:b w:val="0"/>
          <w:bCs/>
          <w:kern w:val="2"/>
          <w:sz w:val="32"/>
          <w:szCs w:val="32"/>
          <w:lang w:val="en-US" w:eastAsia="zh-CN" w:bidi="ar-SA"/>
        </w:rPr>
      </w:pPr>
    </w:p>
    <w:p w14:paraId="1EF9715A">
      <w:pPr>
        <w:keepNext w:val="0"/>
        <w:keepLines w:val="0"/>
        <w:pageBreakBefore w:val="0"/>
        <w:kinsoku/>
        <w:wordWrap/>
        <w:overflowPunct/>
        <w:topLinePunct w:val="0"/>
        <w:autoSpaceDE w:val="0"/>
        <w:autoSpaceDN w:val="0"/>
        <w:bidi w:val="0"/>
        <w:adjustRightInd w:val="0"/>
        <w:snapToGrid/>
        <w:spacing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鄂环（辐）表〔2025〕17号</w:t>
      </w:r>
      <mc:AlternateContent>
        <mc:Choice Requires="wpsCustomData">
          <wpsCustomData:docfieldEnd id="0"/>
        </mc:Choice>
      </mc:AlternateContent>
      <mc:AlternateContent>
        <mc:Choice Requires="wpsCustomData">
          <wpsCustomData:docfieldStart id="1" docfieldname="主送单位" hidden="0" print="1" readonly="0" index="3"/>
        </mc:Choice>
      </mc:AlternateContent>
      <w:bookmarkStart w:id="0" w:name="主送单位"/>
      <w:bookmarkEnd w:id="0"/>
    </w:p>
    <w:p w14:paraId="609B1CFB">
      <w:pPr>
        <w:keepNext w:val="0"/>
        <w:keepLines w:val="0"/>
        <w:pageBreakBefore w:val="0"/>
        <w:kinsoku/>
        <w:wordWrap/>
        <w:overflowPunct/>
        <w:topLinePunct w:val="0"/>
        <w:autoSpaceDE w:val="0"/>
        <w:autoSpaceDN w:val="0"/>
        <w:bidi w:val="0"/>
        <w:adjustRightInd w:val="0"/>
        <w:snapToGrid/>
        <w:spacing w:line="560" w:lineRule="exact"/>
        <w:ind w:left="0" w:leftChars="0" w:firstLine="0" w:firstLineChars="0"/>
        <w:jc w:val="both"/>
        <w:textAlignment w:val="auto"/>
        <w:rPr>
          <w:rFonts w:hint="eastAsia" w:ascii="仿宋" w:hAnsi="仿宋" w:eastAsia="仿宋" w:cs="仿宋"/>
          <w:sz w:val="32"/>
          <w:szCs w:val="32"/>
          <w:lang w:val="en-US" w:eastAsia="zh-CN"/>
        </w:rPr>
      </w:pPr>
    </w:p>
    <w:p w14:paraId="0595088D">
      <w:pPr>
        <w:keepNext w:val="0"/>
        <w:keepLines w:val="0"/>
        <w:pageBreakBefore w:val="0"/>
        <w:kinsoku/>
        <w:wordWrap/>
        <w:overflowPunct/>
        <w:topLinePunct w:val="0"/>
        <w:autoSpaceDE w:val="0"/>
        <w:autoSpaceDN w:val="0"/>
        <w:bidi w:val="0"/>
        <w:adjustRightInd w:val="0"/>
        <w:snapToGrid/>
        <w:spacing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伊金霍洛旗圣地电力安装维护有限责任公司：</w:t>
      </w:r>
    </w:p>
    <mc:AlternateContent>
      <mc:Choice Requires="wpsCustomData">
        <wpsCustomData:docfieldEnd id="1"/>
      </mc:Choice>
    </mc:AlternateContent>
    <w:p w14:paraId="1EB4C9D6">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1" w:name="正文文件"/>
      <w:bookmarkEnd w:id="1"/>
      <mc:AlternateContent>
        <mc:Choice Requires="wpsCustomData">
          <wpsCustomData:docfieldStart id="2" docfieldname="正文文件" hidden="0" print="1" readonly="0" index="4"/>
        </mc:Choice>
      </mc:AlternateContent>
      <w:r>
        <w:rPr>
          <w:rFonts w:hint="eastAsia" w:ascii="仿宋" w:hAnsi="仿宋" w:eastAsia="仿宋" w:cs="仿宋"/>
          <w:sz w:val="32"/>
          <w:szCs w:val="32"/>
          <w:lang w:val="en-US" w:eastAsia="zh-CN"/>
        </w:rPr>
        <w:t>你公司报送的《苏布尔嘎煤炭开发有限责任公司110千伏供电线路工程建设项目环境影响报告表》（以下简称《报告表》）已收悉。经研究，批复如下：</w:t>
      </w:r>
    </w:p>
    <w:p w14:paraId="57CF6B94">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color w:val="auto"/>
          <w:sz w:val="32"/>
          <w:szCs w:val="32"/>
          <w:lang w:val="en-US" w:eastAsia="zh-CN" w:bidi="ar-SA"/>
        </w:rPr>
        <w:t>一、项目建设基本情况</w:t>
      </w:r>
    </w:p>
    <w:p w14:paraId="3DDFCCE0">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2" w:name="OLE_LINK37"/>
      <w:bookmarkStart w:id="3" w:name="_Hlk99271176"/>
      <w:r>
        <w:rPr>
          <w:rFonts w:hint="eastAsia" w:ascii="仿宋" w:hAnsi="仿宋" w:eastAsia="仿宋" w:cs="仿宋"/>
          <w:sz w:val="32"/>
          <w:szCs w:val="32"/>
          <w:lang w:val="en-US" w:eastAsia="zh-CN"/>
        </w:rPr>
        <w:t>本项目为110kV输变电线路工程，位于内蒙古自治区鄂尔多斯市伊金霍洛旗苏布尔嘎镇苏布尔嘎嘎查敏盖村。本工程为拟建的苏布尔嘎矿井及选煤厂项目提供安全可靠的供电电源，满足项目用电需求，建设供电线路工程是非常必要的。项目建设内容包括：</w:t>
      </w:r>
    </w:p>
    <w:bookmarkEnd w:id="2"/>
    <w:bookmarkEnd w:id="3"/>
    <w:p w14:paraId="7249341C">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尔胡梁—苏布尔嘎煤矿供电线路工程，新建2回110kV线路，起于圣尔胡梁（苏泊汗）110kV变电站，止于苏布尔嘎煤矿110kV变电站。新建2回线路长度分别约11.35km和11.15km，全线双回路架设和地埋电缆，其中Ⅰ回路架空线路长度约为11km，电缆直埋线路路径长度约为0.35km，Ⅱ回路架空线路长度约为10.8km，电缆直埋线路路径长度约为0.35km。导线采用JL3/G1A-300/25型钢芯铝绞线。电缆采用ZC-YJLW03-64/110-1×630型交联聚乙烯绝缘铜芯电缆。地线采用一根24芯OPGW-90光缆，1根JLB40A-100型铝包钢绞线。Ⅰ回架空线路曲折系数1.24，Ⅱ回架空线路曲折系数1.22，并行间距约40m。</w:t>
      </w:r>
    </w:p>
    <w:p w14:paraId="5A1EA6D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二、总体意见</w:t>
      </w:r>
    </w:p>
    <w:p w14:paraId="2302500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本项目在严格落实《报告表》提出的各项环境保护措施后，对环境的不利影响和可能存在的环境风险在可控范围内。从环境保护角度分析，我</w:t>
      </w:r>
      <w:r>
        <w:rPr>
          <w:rFonts w:hint="eastAsia" w:ascii="仿宋" w:hAnsi="仿宋" w:eastAsia="仿宋" w:cs="仿宋"/>
          <w:sz w:val="32"/>
          <w:szCs w:val="32"/>
          <w:lang w:eastAsia="zh-CN"/>
        </w:rPr>
        <w:t>局</w:t>
      </w:r>
      <w:r>
        <w:rPr>
          <w:rFonts w:hint="eastAsia" w:ascii="仿宋" w:hAnsi="仿宋" w:eastAsia="仿宋" w:cs="仿宋"/>
          <w:sz w:val="32"/>
          <w:szCs w:val="32"/>
        </w:rPr>
        <w:t>原则同意本项目按照《报告表》中所列的性质、规模、地点和拟采取的环保措施进行建设。</w:t>
      </w:r>
    </w:p>
    <w:p w14:paraId="6B99697B">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黑体" w:hAnsi="黑体" w:eastAsia="黑体" w:cs="黑体"/>
          <w:color w:val="auto"/>
          <w:sz w:val="32"/>
          <w:szCs w:val="32"/>
          <w:lang w:val="zh-CN" w:eastAsia="zh-CN" w:bidi="ar-SA"/>
        </w:rPr>
      </w:pPr>
      <w:r>
        <w:rPr>
          <w:rFonts w:hint="eastAsia" w:ascii="黑体" w:hAnsi="黑体" w:eastAsia="黑体" w:cs="黑体"/>
          <w:color w:val="auto"/>
          <w:sz w:val="32"/>
          <w:szCs w:val="32"/>
          <w:lang w:val="zh-CN" w:eastAsia="zh-CN" w:bidi="ar-SA"/>
        </w:rPr>
        <w:t>三、项目建设及运行期间应做好的工作</w:t>
      </w:r>
    </w:p>
    <w:p w14:paraId="2C6C615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（一）严格落实项目施工期、运营期生态环境保护措施，做好生态保护工作。施工期严格控制施工活动范围，合理布局，尽量减少</w:t>
      </w:r>
      <w:r>
        <w:rPr>
          <w:rFonts w:hint="eastAsia" w:ascii="仿宋" w:hAnsi="仿宋" w:eastAsia="仿宋" w:cs="仿宋"/>
          <w:sz w:val="32"/>
          <w:szCs w:val="32"/>
          <w:lang w:eastAsia="zh-CN"/>
        </w:rPr>
        <w:t>对周围生态环境的影响</w:t>
      </w:r>
      <w:r>
        <w:rPr>
          <w:rFonts w:hint="eastAsia" w:ascii="仿宋" w:hAnsi="仿宋" w:eastAsia="仿宋" w:cs="仿宋"/>
          <w:sz w:val="32"/>
          <w:szCs w:val="32"/>
        </w:rPr>
        <w:t>。</w:t>
      </w:r>
    </w:p>
    <w:p w14:paraId="66AEE3B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（二）认真落实《报告表》中提出的控制和改善工频电场、工频磁场对周边环境影响的措施和方法，监测值应符合《电磁环境控制限值》（GB8702-2014）要求。</w:t>
      </w:r>
    </w:p>
    <w:p w14:paraId="562E070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（三）项目施工期及运行期的噪声值及防噪措施应满足《报告表》中提出的要求，监测值应符合国家评价标准限值要求。</w:t>
      </w:r>
    </w:p>
    <w:p w14:paraId="1E3F752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项目开工建设中发现地下古遗迹现象请立即停工，严格按照相关法律法规程序，对地下文物进行保护，并对相关管理部门报备。</w:t>
      </w:r>
    </w:p>
    <w:p w14:paraId="163B77B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）环境影响报告表经批准后，项目的性质、规模、地点或生态保护、污染防治措施发生重大变动的，应当按要求重新报批。</w:t>
      </w:r>
    </w:p>
    <w:p w14:paraId="025CD982">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建设单位按规定程序完成竣工环境保护验收后，项目方可投入正式运行。</w:t>
      </w:r>
    </w:p>
    <w:p w14:paraId="5E83A0EA">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（七）由伊金霍洛旗分局负责项目建设期间的日常监督管理工作。</w:t>
      </w:r>
    </w:p>
    <w:p w14:paraId="7EC282C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mc:AlternateContent>
      <mc:Choice Requires="wpsCustomData">
        <wpsCustomData:docfieldEnd id="2"/>
      </mc:Choice>
    </mc:AlternateContent>
    <w:p w14:paraId="266F37C9">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p>
    <w:p w14:paraId="4FD9309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鄂尔多斯市生态环境局</w:t>
      </w:r>
      <w:r>
        <w:rPr>
          <w:rFonts w:hint="eastAsia" w:ascii="仿宋" w:hAnsi="仿宋" w:eastAsia="仿宋" w:cs="仿宋"/>
          <w:sz w:val="32"/>
          <w:szCs w:val="32"/>
        </w:rPr>
        <w:t xml:space="preserve">   </w:t>
      </w:r>
    </w:p>
    <w:p w14:paraId="1BA3E147">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bookmarkStart w:id="4" w:name="签发日期"/>
      <w:bookmarkEnd w:id="4"/>
      <mc:AlternateContent>
        <mc:Choice Requires="wpsCustomData">
          <wpsCustomData:docfieldStart id="3" docfieldname="签发日期" hidden="0" print="1" readonly="0" index="5"/>
        </mc:Choice>
      </mc:AlternateContent>
      <w:r>
        <w:rPr>
          <w:rFonts w:hint="eastAsia" w:ascii="仿宋" w:hAnsi="仿宋" w:eastAsia="仿宋" w:cs="仿宋"/>
          <w:sz w:val="32"/>
          <w:szCs w:val="32"/>
          <w:lang w:eastAsia="zh-CN"/>
        </w:rPr>
        <w:t>2025年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bookmarkStart w:id="5" w:name="_GoBack"/>
      <w:bookmarkEnd w:id="5"/>
      <w:r>
        <w:rPr>
          <w:rFonts w:hint="eastAsia" w:ascii="仿宋" w:hAnsi="仿宋" w:eastAsia="仿宋" w:cs="仿宋"/>
          <w:sz w:val="32"/>
          <w:szCs w:val="32"/>
          <w:lang w:eastAsia="zh-CN"/>
        </w:rPr>
        <w:t>日</w:t>
      </w:r>
      <mc:AlternateContent>
        <mc:Choice Requires="wpsCustomData">
          <wpsCustomData:docfieldEnd id="3"/>
        </mc:Choice>
      </mc:AlternateContent>
    </w:p>
    <w:p w14:paraId="7C032424">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2041" w:right="1531" w:bottom="2041"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6A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Rw2zRAAAA&#10;BQEAAA8AAAAAAAAAAQAgAAAAIgAAAGRycy9kb3ducmV2LnhtbFBLAQIUABQAAAAIAIdO4kAAiYqd&#10;6wEAANIDAAAOAAAAAAAAAAEAIAAAACABAABkcnMvZTJvRG9jLnhtbFBLBQYAAAAABgAGAFkBAAB9&#10;BQAAAAA=&#10;">
              <v:fill on="f" focussize="0,0"/>
              <v:stroke on="f" weight="1.25pt"/>
              <v:imagedata o:title=""/>
              <o:lock v:ext="edit" aspectratio="f"/>
              <v:textbox inset="16pt,0mm,16pt,0mm" style="mso-fit-shape-to-text:t;">
                <w:txbxContent>
                  <w:p w14:paraId="33E4E3A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192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203200" tIns="0" rIns="20320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kcNs0QAA&#10;AAUBAAAPAAAAAAAAAAEAIAAAACIAAABkcnMvZG93bnJldi54bWxQSwECFAAUAAAACACHTuJAQRB3&#10;6ewBAADSAwAADgAAAAAAAAABACAAAAAgAQAAZHJzL2Uyb0RvYy54bWxQSwUGAAAAAAYABgBZAQAA&#10;fgUAAAAA&#10;">
              <v:fill on="f" focussize="0,0"/>
              <v:stroke on="f" weight="1.25pt"/>
              <v:imagedata o:title=""/>
              <o:lock v:ext="edit" aspectratio="f"/>
              <v:textbox inset="16pt,0mm,16pt,0mm" style="mso-fit-shape-to-text:t;">
                <w:txbxContent>
                  <w:p w14:paraId="418ADA92">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31F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364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24C">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507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53578FC"/>
    <w:rsid w:val="06414C48"/>
    <w:rsid w:val="06FD2E81"/>
    <w:rsid w:val="0743018D"/>
    <w:rsid w:val="078C4B32"/>
    <w:rsid w:val="08474566"/>
    <w:rsid w:val="09416A35"/>
    <w:rsid w:val="0A8B20E0"/>
    <w:rsid w:val="0C293B57"/>
    <w:rsid w:val="0E4627D6"/>
    <w:rsid w:val="0E6E5343"/>
    <w:rsid w:val="0FF01CE2"/>
    <w:rsid w:val="11DB31C3"/>
    <w:rsid w:val="125A4F9B"/>
    <w:rsid w:val="13F86B10"/>
    <w:rsid w:val="14C12B04"/>
    <w:rsid w:val="166710AD"/>
    <w:rsid w:val="16DD0171"/>
    <w:rsid w:val="171D0934"/>
    <w:rsid w:val="1750305B"/>
    <w:rsid w:val="17BE3596"/>
    <w:rsid w:val="17CC3694"/>
    <w:rsid w:val="18BF59B2"/>
    <w:rsid w:val="197D6DF6"/>
    <w:rsid w:val="1A6C3968"/>
    <w:rsid w:val="1C3B00DC"/>
    <w:rsid w:val="1EC02023"/>
    <w:rsid w:val="1ED972F6"/>
    <w:rsid w:val="201A69CD"/>
    <w:rsid w:val="20A91A11"/>
    <w:rsid w:val="21945992"/>
    <w:rsid w:val="21C84299"/>
    <w:rsid w:val="22904BBD"/>
    <w:rsid w:val="22DA3E1D"/>
    <w:rsid w:val="22E553D9"/>
    <w:rsid w:val="238A2596"/>
    <w:rsid w:val="24A86E33"/>
    <w:rsid w:val="251E1B7F"/>
    <w:rsid w:val="259B6FBE"/>
    <w:rsid w:val="25FA62CC"/>
    <w:rsid w:val="260639A5"/>
    <w:rsid w:val="266B424C"/>
    <w:rsid w:val="274C467D"/>
    <w:rsid w:val="28044EC3"/>
    <w:rsid w:val="293C7576"/>
    <w:rsid w:val="2A4C74AD"/>
    <w:rsid w:val="2C0E7A95"/>
    <w:rsid w:val="2D3E0262"/>
    <w:rsid w:val="2F273069"/>
    <w:rsid w:val="3078340E"/>
    <w:rsid w:val="30CF6F9D"/>
    <w:rsid w:val="347100A1"/>
    <w:rsid w:val="375319D6"/>
    <w:rsid w:val="377E1867"/>
    <w:rsid w:val="39077E02"/>
    <w:rsid w:val="39237490"/>
    <w:rsid w:val="3B5419C2"/>
    <w:rsid w:val="3C032EFE"/>
    <w:rsid w:val="3C431296"/>
    <w:rsid w:val="3D997D89"/>
    <w:rsid w:val="3F011C59"/>
    <w:rsid w:val="40DE7A76"/>
    <w:rsid w:val="41E57898"/>
    <w:rsid w:val="43BE5DA5"/>
    <w:rsid w:val="446C7743"/>
    <w:rsid w:val="45091187"/>
    <w:rsid w:val="48D80B0B"/>
    <w:rsid w:val="4955784C"/>
    <w:rsid w:val="4D460620"/>
    <w:rsid w:val="4E08718E"/>
    <w:rsid w:val="4E573A0C"/>
    <w:rsid w:val="500F600B"/>
    <w:rsid w:val="506432B6"/>
    <w:rsid w:val="52D72F1B"/>
    <w:rsid w:val="55BA08E6"/>
    <w:rsid w:val="56354618"/>
    <w:rsid w:val="56770825"/>
    <w:rsid w:val="56B776E3"/>
    <w:rsid w:val="56CC16FF"/>
    <w:rsid w:val="58CA2C35"/>
    <w:rsid w:val="5A0A5B88"/>
    <w:rsid w:val="5A2A1A16"/>
    <w:rsid w:val="5A6A257E"/>
    <w:rsid w:val="5D9131BE"/>
    <w:rsid w:val="5E2A6A47"/>
    <w:rsid w:val="5F001B36"/>
    <w:rsid w:val="5F0D4001"/>
    <w:rsid w:val="610B5ACF"/>
    <w:rsid w:val="615D0E52"/>
    <w:rsid w:val="622C3B53"/>
    <w:rsid w:val="625C4B72"/>
    <w:rsid w:val="63AD43A2"/>
    <w:rsid w:val="647C4CF5"/>
    <w:rsid w:val="64B557C6"/>
    <w:rsid w:val="653806B8"/>
    <w:rsid w:val="67C12074"/>
    <w:rsid w:val="67CD23C4"/>
    <w:rsid w:val="68AC3246"/>
    <w:rsid w:val="68F668C7"/>
    <w:rsid w:val="69EE13C7"/>
    <w:rsid w:val="6A0056F8"/>
    <w:rsid w:val="6A9579E6"/>
    <w:rsid w:val="6BFF1513"/>
    <w:rsid w:val="6C5D38C7"/>
    <w:rsid w:val="6E083062"/>
    <w:rsid w:val="6E0A6B18"/>
    <w:rsid w:val="6E401570"/>
    <w:rsid w:val="70FA112C"/>
    <w:rsid w:val="71D96AFD"/>
    <w:rsid w:val="72536B1A"/>
    <w:rsid w:val="735242FF"/>
    <w:rsid w:val="73942F17"/>
    <w:rsid w:val="73945316"/>
    <w:rsid w:val="73ED7448"/>
    <w:rsid w:val="73FF04CC"/>
    <w:rsid w:val="751E2030"/>
    <w:rsid w:val="75596A9F"/>
    <w:rsid w:val="77B43AFA"/>
    <w:rsid w:val="77E77440"/>
    <w:rsid w:val="7BE16A25"/>
    <w:rsid w:val="7BFF4D51"/>
    <w:rsid w:val="7C67564F"/>
    <w:rsid w:val="7D3E6257"/>
    <w:rsid w:val="7D6F7921"/>
    <w:rsid w:val="7D735E10"/>
    <w:rsid w:val="7D754DCD"/>
    <w:rsid w:val="7E705781"/>
    <w:rsid w:val="7EE00A44"/>
    <w:rsid w:val="7FA72FA3"/>
    <w:rsid w:val="B3BE18E7"/>
    <w:rsid w:val="BFBF9460"/>
    <w:rsid w:val="DDDD7497"/>
    <w:rsid w:val="DF4FEC23"/>
    <w:rsid w:val="F7FFB738"/>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Subtitle"/>
    <w:basedOn w:val="1"/>
    <w:next w:val="1"/>
    <w:qFormat/>
    <w:uiPriority w:val="0"/>
    <w:pPr>
      <w:spacing w:line="312" w:lineRule="auto"/>
      <w:ind w:firstLine="0" w:firstLineChars="0"/>
      <w:jc w:val="left"/>
      <w:outlineLvl w:val="1"/>
    </w:pPr>
    <w:rPr>
      <w:rFonts w:cs="Times New Roman"/>
      <w:b/>
      <w:bCs/>
      <w:kern w:val="28"/>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semiHidden/>
    <w:qFormat/>
    <w:uiPriority w:val="0"/>
    <w:rPr>
      <w:sz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批注框文本 Char"/>
    <w:basedOn w:val="10"/>
    <w:link w:val="4"/>
    <w:semiHidden/>
    <w:qFormat/>
    <w:uiPriority w:val="99"/>
    <w:rPr>
      <w:kern w:val="2"/>
      <w:sz w:val="18"/>
      <w:szCs w:val="18"/>
    </w:rPr>
  </w:style>
  <w:style w:type="character" w:customStyle="1" w:styleId="15">
    <w:name w:val="页脚 Char"/>
    <w:link w:val="5"/>
    <w:semiHidden/>
    <w:qFormat/>
    <w:uiPriority w:val="99"/>
    <w:rPr>
      <w:sz w:val="18"/>
      <w:szCs w:val="18"/>
    </w:rPr>
  </w:style>
  <w:style w:type="character" w:customStyle="1" w:styleId="16">
    <w:name w:val="页眉 Char"/>
    <w:link w:val="6"/>
    <w:semiHidden/>
    <w:qFormat/>
    <w:uiPriority w:val="99"/>
    <w:rPr>
      <w:sz w:val="18"/>
      <w:szCs w:val="18"/>
    </w:rPr>
  </w:style>
  <w:style w:type="paragraph" w:customStyle="1" w:styleId="17">
    <w:name w:val="zw"/>
    <w:basedOn w:val="1"/>
    <w:semiHidden/>
    <w:qFormat/>
    <w:uiPriority w:val="0"/>
    <w:pPr>
      <w:shd w:val="clear" w:color="auto" w:fill="FFFFFF"/>
      <w:adjustRightInd w:val="0"/>
      <w:snapToGrid w:val="0"/>
      <w:ind w:firstLine="480" w:firstLineChars="0"/>
    </w:pPr>
    <w:rPr>
      <w:kern w:val="0"/>
      <w:szCs w:val="24"/>
    </w:rPr>
  </w:style>
  <w:style w:type="paragraph" w:customStyle="1" w:styleId="18">
    <w:name w:val="6"/>
    <w:basedOn w:val="1"/>
    <w:next w:val="2"/>
    <w:qFormat/>
    <w:uiPriority w:val="0"/>
    <w:pPr>
      <w:widowControl/>
      <w:spacing w:line="440" w:lineRule="exact"/>
      <w:ind w:firstLine="527"/>
      <w:jc w:val="left"/>
    </w:pPr>
    <w:rPr>
      <w:rFonts w:ascii="宋体" w:hAnsi="宋体" w:cs="宋体"/>
      <w:kern w:val="0"/>
      <w:sz w:val="24"/>
    </w:rPr>
  </w:style>
  <w:style w:type="paragraph" w:styleId="19">
    <w:name w:val="List Paragraph"/>
    <w:basedOn w:val="1"/>
    <w:qFormat/>
    <w:uiPriority w:val="34"/>
    <w:pPr>
      <w:ind w:firstLine="420" w:firstLineChars="200"/>
    </w:pPr>
  </w:style>
  <w:style w:type="paragraph" w:customStyle="1" w:styleId="20">
    <w:name w:val="文字序号"/>
    <w:basedOn w:val="1"/>
    <w:qFormat/>
    <w:uiPriority w:val="0"/>
    <w:pPr>
      <w:ind w:firstLine="1440" w:firstLineChars="200"/>
      <w:jc w:val="both"/>
    </w:pPr>
    <w:rPr>
      <w:b/>
      <w:bCs/>
      <w:color w:val="000000"/>
    </w:rPr>
  </w:style>
  <w:style w:type="paragraph" w:customStyle="1" w:styleId="21">
    <w:name w:val="正文（首行缩进2字符）"/>
    <w:basedOn w:val="1"/>
    <w:qFormat/>
    <w:uiPriority w:val="0"/>
    <w:pPr>
      <w:ind w:firstLine="1440" w:firstLineChars="200"/>
    </w:pPr>
    <w:rPr>
      <w:rFonts w:hint="eastAsia"/>
    </w:rPr>
  </w:style>
  <w:style w:type="paragraph" w:customStyle="1" w:styleId="22">
    <w:name w:val="表内容（居中对其）"/>
    <w:basedOn w:val="1"/>
    <w:next w:val="1"/>
    <w:qFormat/>
    <w:uiPriority w:val="0"/>
    <w:pPr>
      <w:spacing w:line="240" w:lineRule="auto"/>
      <w:ind w:firstLine="0" w:firstLineChars="0"/>
      <w:jc w:val="center"/>
    </w:pPr>
    <w:rPr>
      <w:rFonts w:hint="eastAsia"/>
      <w:sz w:val="21"/>
      <w:szCs w:val="21"/>
    </w:rPr>
  </w:style>
  <w:style w:type="table" w:customStyle="1" w:styleId="2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3</Pages>
  <Words>1780</Words>
  <Characters>2025</Characters>
  <Lines>1</Lines>
  <Paragraphs>1</Paragraphs>
  <TotalTime>23</TotalTime>
  <ScaleCrop>false</ScaleCrop>
  <LinksUpToDate>false</LinksUpToDate>
  <CharactersWithSpaces>2086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2021-10-25T21:08:00Z</dcterms:created>
  <dc:creator>袁迎辉</dc:creator>
  <cp:lastModifiedBy>Dali</cp:lastModifiedBy>
  <cp:lastPrinted>2018-11-14T17:34:00Z</cp:lastPrinted>
  <dcterms:modified xsi:type="dcterms:W3CDTF">2025-12-24T07:31:00Z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eyJoZGlkIjoiMzE0NzBjNzQyNzUyYjQxZGQ5ZGQxYjY3MmI4M2JlNzUiLCJ1c2VySWQiOiIzMTg2NzYwMjYifQ==</vt:lpwstr>
  </property>
  <property fmtid="{D5CDD505-2E9C-101B-9397-08002B2CF9AE}" pid="4" name="ICV">
    <vt:lpwstr>8B8BF1C97B74477A8FEF37D16074A2D9_13</vt:lpwstr>
  </property>
</Properties>
</file>